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55F2A" w14:textId="067555BB" w:rsidR="00963527" w:rsidRPr="00BA4E50" w:rsidRDefault="00963527" w:rsidP="00963527">
      <w:pPr>
        <w:tabs>
          <w:tab w:val="center" w:pos="4536"/>
          <w:tab w:val="right" w:pos="9358"/>
          <w:tab w:val="right" w:pos="9639"/>
        </w:tabs>
        <w:spacing w:after="0"/>
        <w:rPr>
          <w:rFonts w:ascii="Arial" w:hAnsi="Arial" w:cs="Arial"/>
          <w:b/>
          <w:bCs/>
          <w:sz w:val="24"/>
          <w:szCs w:val="18"/>
        </w:rPr>
      </w:pPr>
      <w:bookmarkStart w:id="0" w:name="_Hlk525903026"/>
      <w:bookmarkStart w:id="1" w:name="_Hlk506565237"/>
      <w:r w:rsidRPr="00BA4E50">
        <w:rPr>
          <w:rFonts w:ascii="Arial" w:hAnsi="Arial" w:cs="Arial"/>
          <w:b/>
          <w:bCs/>
          <w:sz w:val="24"/>
          <w:szCs w:val="18"/>
        </w:rPr>
        <w:t>3GPP TSG RAN WG1 Meeting #99</w:t>
      </w:r>
      <w:r w:rsidRPr="00BA4E50">
        <w:rPr>
          <w:rFonts w:ascii="Arial" w:hAnsi="Arial" w:cs="Arial"/>
          <w:b/>
          <w:bCs/>
          <w:sz w:val="24"/>
          <w:szCs w:val="18"/>
        </w:rPr>
        <w:tab/>
      </w:r>
      <w:r w:rsidRPr="00BA4E50">
        <w:rPr>
          <w:rFonts w:ascii="Arial" w:hAnsi="Arial" w:cs="Arial"/>
          <w:b/>
          <w:bCs/>
          <w:sz w:val="24"/>
          <w:szCs w:val="18"/>
        </w:rPr>
        <w:tab/>
        <w:t xml:space="preserve"> R1-191</w:t>
      </w:r>
      <w:r w:rsidR="00090A80">
        <w:rPr>
          <w:rFonts w:ascii="Arial" w:hAnsi="Arial" w:cs="Arial"/>
          <w:b/>
          <w:bCs/>
          <w:sz w:val="24"/>
          <w:szCs w:val="18"/>
        </w:rPr>
        <w:t>2953</w:t>
      </w:r>
    </w:p>
    <w:p w14:paraId="25808C4D" w14:textId="77777777" w:rsidR="00963527" w:rsidRPr="00BA4E50" w:rsidRDefault="00963527" w:rsidP="00963527">
      <w:pPr>
        <w:tabs>
          <w:tab w:val="right" w:pos="9630"/>
        </w:tabs>
        <w:spacing w:after="0"/>
        <w:jc w:val="both"/>
        <w:rPr>
          <w:rFonts w:ascii="Arial" w:hAnsi="Arial" w:cs="Arial"/>
          <w:b/>
          <w:sz w:val="22"/>
          <w:szCs w:val="22"/>
        </w:rPr>
      </w:pPr>
      <w:r w:rsidRPr="00BA4E50">
        <w:rPr>
          <w:rFonts w:ascii="Arial" w:eastAsia="MS Mincho" w:hAnsi="Arial" w:cs="Arial"/>
          <w:b/>
          <w:bCs/>
          <w:sz w:val="24"/>
          <w:szCs w:val="18"/>
          <w:lang w:eastAsia="ja-JP"/>
        </w:rPr>
        <w:t>Reno, USA, November 18</w:t>
      </w:r>
      <w:r w:rsidRPr="00BA4E50">
        <w:rPr>
          <w:rFonts w:ascii="Arial" w:eastAsia="MS Mincho" w:hAnsi="Arial" w:cs="Arial"/>
          <w:b/>
          <w:bCs/>
          <w:sz w:val="24"/>
          <w:szCs w:val="18"/>
          <w:vertAlign w:val="superscript"/>
          <w:lang w:eastAsia="ja-JP"/>
        </w:rPr>
        <w:t>th</w:t>
      </w:r>
      <w:r w:rsidRPr="00BA4E50">
        <w:rPr>
          <w:rFonts w:ascii="Arial" w:eastAsia="MS Mincho" w:hAnsi="Arial" w:cs="Arial"/>
          <w:b/>
          <w:bCs/>
          <w:sz w:val="24"/>
          <w:szCs w:val="18"/>
          <w:lang w:eastAsia="ja-JP"/>
        </w:rPr>
        <w:t xml:space="preserve"> – 22</w:t>
      </w:r>
      <w:r w:rsidRPr="00BA4E50">
        <w:rPr>
          <w:rFonts w:ascii="Arial" w:eastAsia="MS Mincho" w:hAnsi="Arial" w:cs="Arial"/>
          <w:b/>
          <w:bCs/>
          <w:sz w:val="24"/>
          <w:szCs w:val="18"/>
          <w:vertAlign w:val="superscript"/>
          <w:lang w:eastAsia="ja-JP"/>
        </w:rPr>
        <w:t>nd</w:t>
      </w:r>
      <w:r w:rsidRPr="00BA4E50">
        <w:rPr>
          <w:rFonts w:ascii="Arial" w:eastAsia="MS Mincho" w:hAnsi="Arial" w:cs="Arial"/>
          <w:b/>
          <w:bCs/>
          <w:sz w:val="24"/>
          <w:szCs w:val="18"/>
          <w:lang w:eastAsia="ja-JP"/>
        </w:rPr>
        <w:t>, 2019</w:t>
      </w:r>
    </w:p>
    <w:bookmarkEnd w:id="0"/>
    <w:p w14:paraId="4F9328BC" w14:textId="77777777" w:rsidR="00963527" w:rsidRPr="00BA4E50" w:rsidRDefault="00963527" w:rsidP="00963527">
      <w:pPr>
        <w:pStyle w:val="Title"/>
        <w:tabs>
          <w:tab w:val="left" w:pos="709"/>
          <w:tab w:val="right" w:pos="9639"/>
        </w:tabs>
        <w:wordWrap w:val="0"/>
        <w:spacing w:after="0"/>
        <w:ind w:right="120"/>
        <w:jc w:val="both"/>
        <w:rPr>
          <w:rFonts w:cs="Arial"/>
          <w:color w:val="000000"/>
          <w:lang w:val="en-US" w:eastAsia="ja-JP"/>
        </w:rPr>
      </w:pPr>
      <w:r w:rsidRPr="00BA4E50">
        <w:rPr>
          <w:rFonts w:cs="Arial"/>
          <w:color w:val="000000"/>
          <w:lang w:val="en-US"/>
        </w:rPr>
        <w:tab/>
      </w:r>
    </w:p>
    <w:p w14:paraId="5B8E8811" w14:textId="2021EC9F" w:rsidR="00963527" w:rsidRPr="007B5550" w:rsidRDefault="00963527" w:rsidP="00963527">
      <w:pPr>
        <w:tabs>
          <w:tab w:val="left" w:pos="1985"/>
        </w:tabs>
        <w:jc w:val="both"/>
        <w:rPr>
          <w:rFonts w:ascii="Arial" w:hAnsi="Arial"/>
          <w:color w:val="000000"/>
          <w:sz w:val="24"/>
        </w:rPr>
      </w:pPr>
      <w:r w:rsidRPr="00BA4E50">
        <w:rPr>
          <w:rFonts w:ascii="Arial" w:hAnsi="Arial"/>
          <w:b/>
          <w:color w:val="000000"/>
          <w:sz w:val="24"/>
        </w:rPr>
        <w:t>Agenda item:</w:t>
      </w:r>
      <w:r w:rsidRPr="00BA4E50">
        <w:rPr>
          <w:rFonts w:ascii="Arial" w:hAnsi="Arial"/>
          <w:color w:val="000000"/>
          <w:sz w:val="24"/>
        </w:rPr>
        <w:tab/>
        <w:t>7.2.4.</w:t>
      </w:r>
      <w:r w:rsidR="00090A80">
        <w:rPr>
          <w:rFonts w:ascii="Arial" w:hAnsi="Arial"/>
          <w:color w:val="000000"/>
          <w:sz w:val="24"/>
        </w:rPr>
        <w:t>8</w:t>
      </w:r>
    </w:p>
    <w:p w14:paraId="0606D0DE" w14:textId="77777777" w:rsidR="00963527" w:rsidRPr="00BA4E50" w:rsidRDefault="00963527" w:rsidP="00963527">
      <w:pPr>
        <w:tabs>
          <w:tab w:val="left" w:pos="1985"/>
        </w:tabs>
        <w:jc w:val="both"/>
        <w:rPr>
          <w:rFonts w:ascii="Arial" w:hAnsi="Arial"/>
          <w:sz w:val="24"/>
          <w:lang w:eastAsia="zh-CN"/>
        </w:rPr>
      </w:pPr>
      <w:r w:rsidRPr="00BA4E50">
        <w:rPr>
          <w:rFonts w:ascii="Arial" w:hAnsi="Arial"/>
          <w:b/>
          <w:sz w:val="24"/>
        </w:rPr>
        <w:t xml:space="preserve">Source: </w:t>
      </w:r>
      <w:r w:rsidRPr="00BA4E50">
        <w:rPr>
          <w:rFonts w:ascii="Arial" w:hAnsi="Arial"/>
          <w:b/>
          <w:sz w:val="24"/>
        </w:rPr>
        <w:tab/>
      </w:r>
      <w:r w:rsidRPr="00BA4E50">
        <w:rPr>
          <w:rFonts w:ascii="Arial" w:hAnsi="Arial"/>
          <w:sz w:val="24"/>
        </w:rPr>
        <w:t>Qualcomm Incorporated</w:t>
      </w:r>
    </w:p>
    <w:p w14:paraId="4E877C36" w14:textId="2628FEE2" w:rsidR="00963527" w:rsidRPr="00BA4E50" w:rsidRDefault="00963527" w:rsidP="00963527">
      <w:pPr>
        <w:ind w:left="1988" w:hanging="1988"/>
        <w:jc w:val="both"/>
        <w:rPr>
          <w:rFonts w:ascii="Arial" w:hAnsi="Arial"/>
          <w:sz w:val="24"/>
          <w:szCs w:val="24"/>
        </w:rPr>
      </w:pPr>
      <w:r w:rsidRPr="00BA4E50">
        <w:rPr>
          <w:rFonts w:ascii="Arial" w:hAnsi="Arial"/>
          <w:b/>
          <w:sz w:val="24"/>
        </w:rPr>
        <w:t>Title:</w:t>
      </w:r>
      <w:r w:rsidRPr="00BA4E50">
        <w:rPr>
          <w:rFonts w:ascii="Arial" w:hAnsi="Arial"/>
          <w:sz w:val="24"/>
        </w:rPr>
        <w:t xml:space="preserve"> </w:t>
      </w:r>
      <w:r w:rsidRPr="00BA4E50">
        <w:rPr>
          <w:rFonts w:ascii="Arial" w:hAnsi="Arial"/>
          <w:sz w:val="22"/>
        </w:rPr>
        <w:tab/>
      </w:r>
      <w:r w:rsidR="00EB4E8B">
        <w:rPr>
          <w:rFonts w:ascii="Arial" w:hAnsi="Arial"/>
          <w:sz w:val="24"/>
        </w:rPr>
        <w:t xml:space="preserve">Synchronization </w:t>
      </w:r>
      <w:r w:rsidR="00090A80">
        <w:rPr>
          <w:rFonts w:ascii="Arial" w:hAnsi="Arial"/>
          <w:sz w:val="24"/>
        </w:rPr>
        <w:t>Details</w:t>
      </w:r>
      <w:r w:rsidR="00EB4E8B">
        <w:rPr>
          <w:rFonts w:ascii="Arial" w:hAnsi="Arial"/>
          <w:sz w:val="24"/>
        </w:rPr>
        <w:t xml:space="preserve"> for NR V2X</w:t>
      </w:r>
    </w:p>
    <w:p w14:paraId="3EB4F9DC" w14:textId="77777777" w:rsidR="00963527" w:rsidRPr="00BA4E50" w:rsidRDefault="00963527" w:rsidP="00963527">
      <w:pPr>
        <w:tabs>
          <w:tab w:val="left" w:pos="1985"/>
        </w:tabs>
        <w:ind w:right="-441"/>
        <w:jc w:val="both"/>
        <w:rPr>
          <w:rFonts w:ascii="Arial" w:hAnsi="Arial"/>
          <w:sz w:val="24"/>
        </w:rPr>
      </w:pPr>
      <w:r w:rsidRPr="00BA4E50">
        <w:rPr>
          <w:rFonts w:ascii="Arial" w:hAnsi="Arial"/>
          <w:b/>
          <w:sz w:val="24"/>
        </w:rPr>
        <w:t>Document for:</w:t>
      </w:r>
      <w:r w:rsidRPr="00BA4E50">
        <w:rPr>
          <w:rFonts w:ascii="Arial" w:hAnsi="Arial"/>
          <w:sz w:val="24"/>
        </w:rPr>
        <w:tab/>
        <w:t>Discussion/Decision</w:t>
      </w:r>
    </w:p>
    <w:p w14:paraId="3FE24962" w14:textId="77777777" w:rsidR="001A3367" w:rsidRPr="001A3367" w:rsidRDefault="001A3367" w:rsidP="001A3367">
      <w:pPr>
        <w:pStyle w:val="Heading1"/>
        <w:numPr>
          <w:ilvl w:val="0"/>
          <w:numId w:val="1"/>
        </w:numPr>
        <w:jc w:val="both"/>
        <w:rPr>
          <w:rFonts w:ascii="Times New Roman" w:hAnsi="Times New Roman"/>
          <w:lang w:eastAsia="zh-CN"/>
        </w:rPr>
      </w:pPr>
      <w:r w:rsidRPr="001A3367">
        <w:rPr>
          <w:rFonts w:ascii="Times New Roman" w:hAnsi="Times New Roman"/>
          <w:lang w:eastAsia="zh-CN"/>
        </w:rPr>
        <w:t>Introduction</w:t>
      </w:r>
    </w:p>
    <w:p w14:paraId="672613FC" w14:textId="77777777" w:rsidR="001A3367" w:rsidRDefault="001A3367" w:rsidP="001A3367">
      <w:pPr>
        <w:jc w:val="both"/>
      </w:pPr>
      <w:r>
        <w:t xml:space="preserve">In this contribution, we discuss the remaining issues related to SL synchronization signal and SSB design. The discussion on sidelink synchronization procedure improvement can be found in [1]. </w:t>
      </w:r>
    </w:p>
    <w:p w14:paraId="3AD98D27" w14:textId="77777777" w:rsidR="001A3367" w:rsidRPr="001A3367" w:rsidRDefault="001A3367" w:rsidP="001A3367">
      <w:pPr>
        <w:pStyle w:val="Heading1"/>
        <w:numPr>
          <w:ilvl w:val="0"/>
          <w:numId w:val="1"/>
        </w:numPr>
        <w:jc w:val="both"/>
        <w:rPr>
          <w:rFonts w:ascii="Times New Roman" w:hAnsi="Times New Roman"/>
          <w:lang w:eastAsia="zh-CN"/>
        </w:rPr>
      </w:pPr>
      <w:r w:rsidRPr="001A3367">
        <w:rPr>
          <w:rFonts w:ascii="Times New Roman" w:hAnsi="Times New Roman"/>
          <w:lang w:eastAsia="zh-CN"/>
        </w:rPr>
        <w:t>SLSS Sequences</w:t>
      </w:r>
    </w:p>
    <w:p w14:paraId="4708EC81" w14:textId="348AEC53" w:rsidR="001A3367" w:rsidRDefault="001A3367" w:rsidP="001A3367">
      <w:pPr>
        <w:jc w:val="both"/>
      </w:pPr>
      <w:r>
        <w:t xml:space="preserve">In RAN1#98, it was agreed </w:t>
      </w:r>
      <w:r w:rsidR="00C73508">
        <w:t xml:space="preserve">that </w:t>
      </w:r>
      <w:r>
        <w:rPr>
          <w:lang w:eastAsia="zh-CN"/>
        </w:rPr>
        <w:t xml:space="preserve">672 SLSS IDs with the combination of {2 S-PSS candidates * 336 S-SSS candidates} </w:t>
      </w:r>
      <w:r w:rsidR="007C7016">
        <w:rPr>
          <w:lang w:eastAsia="zh-CN"/>
        </w:rPr>
        <w:t xml:space="preserve">are supported for NR sidelink. </w:t>
      </w:r>
      <w:r>
        <w:rPr>
          <w:lang w:eastAsia="zh-CN"/>
        </w:rPr>
        <w:t xml:space="preserve">The sequences to </w:t>
      </w:r>
      <w:r w:rsidR="004061C6">
        <w:rPr>
          <w:lang w:eastAsia="zh-CN"/>
        </w:rPr>
        <w:t xml:space="preserve">be </w:t>
      </w:r>
      <w:r>
        <w:rPr>
          <w:lang w:eastAsia="zh-CN"/>
        </w:rPr>
        <w:t>use</w:t>
      </w:r>
      <w:r w:rsidR="004061C6">
        <w:rPr>
          <w:lang w:eastAsia="zh-CN"/>
        </w:rPr>
        <w:t>d</w:t>
      </w:r>
      <w:r>
        <w:rPr>
          <w:lang w:eastAsia="zh-CN"/>
        </w:rPr>
        <w:t xml:space="preserve"> for S-PSS and S-SSS </w:t>
      </w:r>
      <w:r>
        <w:t>are FFS. To differentiate the V2X S-PSS from NR Uu PSS, while still keeping large degree of commonality with the NR PSS/SSS sequences to enable hardware reuse at the receiver, we propose to have same PSS sequence generator but different CSs than NR Uu PSS (in particular the CSs for NR S-PSS are {21, 64}), and NR Uu SSS sequences can be reused for NR S-SSS.</w:t>
      </w:r>
      <w:bookmarkStart w:id="2" w:name="_Hlk21003003"/>
    </w:p>
    <w:p w14:paraId="3C65FAD0" w14:textId="77777777" w:rsidR="001A3367" w:rsidRPr="004D3239" w:rsidRDefault="001A3367" w:rsidP="001A3367">
      <w:pPr>
        <w:jc w:val="both"/>
      </w:pPr>
      <w:r w:rsidRPr="00963CAF">
        <w:rPr>
          <w:b/>
        </w:rPr>
        <w:t>Proposal 1</w:t>
      </w:r>
      <w:r>
        <w:rPr>
          <w:b/>
        </w:rPr>
        <w:t>a</w:t>
      </w:r>
      <w:r w:rsidRPr="00963CAF">
        <w:rPr>
          <w:b/>
        </w:rPr>
        <w:t>:</w:t>
      </w:r>
      <w:r w:rsidRPr="004D3239">
        <w:t xml:space="preserve">  </w:t>
      </w:r>
      <w:r>
        <w:t xml:space="preserve">NR </w:t>
      </w:r>
      <w:r w:rsidRPr="004D3239">
        <w:t xml:space="preserve">S-PSS uses the same polynomial </w:t>
      </w:r>
      <w:r>
        <w:t xml:space="preserve">as NR PSS </w:t>
      </w:r>
      <w:r w:rsidRPr="004D3239">
        <w:t xml:space="preserve">(i.e., x7+x4+1) and the same initial value, but </w:t>
      </w:r>
      <w:r>
        <w:t xml:space="preserve">uses </w:t>
      </w:r>
      <w:r w:rsidRPr="004D3239">
        <w:t xml:space="preserve">cyclic shifts </w:t>
      </w:r>
      <w:r>
        <w:t xml:space="preserve">{21, 64} (that differ from </w:t>
      </w:r>
      <w:r w:rsidRPr="004D3239">
        <w:t xml:space="preserve">NR </w:t>
      </w:r>
      <w:r>
        <w:t xml:space="preserve">Uu </w:t>
      </w:r>
      <w:r w:rsidRPr="004D3239">
        <w:t>PSS</w:t>
      </w:r>
      <w:r>
        <w:t>).</w:t>
      </w:r>
    </w:p>
    <w:p w14:paraId="2F53D142" w14:textId="77777777" w:rsidR="001A3367" w:rsidRDefault="001A3367" w:rsidP="001A3367">
      <w:pPr>
        <w:jc w:val="both"/>
      </w:pPr>
      <w:r w:rsidRPr="00963CAF">
        <w:rPr>
          <w:b/>
        </w:rPr>
        <w:t xml:space="preserve">Proposal </w:t>
      </w:r>
      <w:r>
        <w:rPr>
          <w:b/>
        </w:rPr>
        <w:t>1b</w:t>
      </w:r>
      <w:r w:rsidRPr="00963CAF">
        <w:rPr>
          <w:b/>
        </w:rPr>
        <w:t>:</w:t>
      </w:r>
      <w:r w:rsidRPr="004D3239">
        <w:t xml:space="preserve">  </w:t>
      </w:r>
      <w:r w:rsidR="006F4200">
        <w:t xml:space="preserve">NR </w:t>
      </w:r>
      <w:r w:rsidRPr="004D3239">
        <w:t>S-SSS reuses the sequence</w:t>
      </w:r>
      <w:r>
        <w:t xml:space="preserve"> generator for </w:t>
      </w:r>
      <w:r w:rsidRPr="004D3239">
        <w:t xml:space="preserve">NR </w:t>
      </w:r>
      <w:r>
        <w:t xml:space="preserve">Uu </w:t>
      </w:r>
      <w:r w:rsidRPr="004D3239">
        <w:t>SSS.</w:t>
      </w:r>
      <w:bookmarkEnd w:id="2"/>
    </w:p>
    <w:p w14:paraId="3D8FA6B2" w14:textId="77777777" w:rsidR="001A3367" w:rsidRPr="001A3367" w:rsidRDefault="001A3367" w:rsidP="001A3367">
      <w:pPr>
        <w:pStyle w:val="Heading1"/>
        <w:numPr>
          <w:ilvl w:val="0"/>
          <w:numId w:val="1"/>
        </w:numPr>
        <w:jc w:val="both"/>
        <w:rPr>
          <w:rFonts w:ascii="Times New Roman" w:hAnsi="Times New Roman"/>
          <w:lang w:eastAsia="zh-CN"/>
        </w:rPr>
      </w:pPr>
      <w:r w:rsidRPr="001A3367">
        <w:rPr>
          <w:rFonts w:ascii="Times New Roman" w:hAnsi="Times New Roman"/>
          <w:lang w:eastAsia="zh-CN"/>
        </w:rPr>
        <w:t>NR PSBCH Design</w:t>
      </w:r>
    </w:p>
    <w:p w14:paraId="4AFACCB6" w14:textId="77777777" w:rsidR="001A3367" w:rsidRPr="001A3367" w:rsidRDefault="001A3367" w:rsidP="001A3367">
      <w:pPr>
        <w:pStyle w:val="Heading2"/>
        <w:numPr>
          <w:ilvl w:val="1"/>
          <w:numId w:val="1"/>
        </w:numPr>
        <w:spacing w:before="240" w:after="180"/>
        <w:rPr>
          <w:rFonts w:ascii="Times New Roman" w:hAnsi="Times New Roman" w:cs="Times New Roman"/>
          <w:color w:val="auto"/>
          <w:sz w:val="28"/>
        </w:rPr>
      </w:pPr>
      <w:r w:rsidRPr="001A3367">
        <w:rPr>
          <w:rFonts w:ascii="Times New Roman" w:hAnsi="Times New Roman" w:cs="Times New Roman"/>
          <w:color w:val="auto"/>
          <w:sz w:val="28"/>
        </w:rPr>
        <w:t>PSBCH Contents</w:t>
      </w:r>
    </w:p>
    <w:p w14:paraId="128C37FD" w14:textId="77777777" w:rsidR="001A3367" w:rsidRDefault="003D3CA9" w:rsidP="001A3367">
      <w:pPr>
        <w:jc w:val="both"/>
      </w:pPr>
      <w:r>
        <w:t>For NR PSBCH content, t</w:t>
      </w:r>
      <w:r w:rsidR="001A3367">
        <w:t>he following agreements were reached at RAN1#98bis</w:t>
      </w:r>
      <w:r w:rsidR="00EB4E8B">
        <w:t xml:space="preserve"> [2]</w:t>
      </w:r>
      <w:r w:rsidR="001A3367">
        <w:t>.</w:t>
      </w:r>
    </w:p>
    <w:tbl>
      <w:tblPr>
        <w:tblStyle w:val="TableGrid"/>
        <w:tblW w:w="0" w:type="auto"/>
        <w:tblLook w:val="04A0" w:firstRow="1" w:lastRow="0" w:firstColumn="1" w:lastColumn="0" w:noHBand="0" w:noVBand="1"/>
      </w:tblPr>
      <w:tblGrid>
        <w:gridCol w:w="9350"/>
      </w:tblGrid>
      <w:tr w:rsidR="001A3367" w14:paraId="5847FC8A" w14:textId="77777777" w:rsidTr="00105D75">
        <w:tc>
          <w:tcPr>
            <w:tcW w:w="9350" w:type="dxa"/>
          </w:tcPr>
          <w:p w14:paraId="284C9E88" w14:textId="77777777" w:rsidR="001A3367" w:rsidRPr="0008116E" w:rsidRDefault="001A3367" w:rsidP="00105D75">
            <w:pPr>
              <w:pStyle w:val="BodyText"/>
              <w:rPr>
                <w:rFonts w:eastAsia="DengXian"/>
                <w:szCs w:val="20"/>
                <w:highlight w:val="green"/>
                <w:lang w:eastAsia="zh-CN"/>
              </w:rPr>
            </w:pPr>
            <w:r w:rsidRPr="0008116E">
              <w:rPr>
                <w:rFonts w:eastAsia="DengXian"/>
                <w:szCs w:val="20"/>
                <w:highlight w:val="green"/>
                <w:lang w:eastAsia="zh-CN"/>
              </w:rPr>
              <w:t>Agreements:</w:t>
            </w:r>
          </w:p>
          <w:p w14:paraId="1E6A9509" w14:textId="77777777" w:rsidR="001A3367" w:rsidRPr="0008116E" w:rsidRDefault="001A3367" w:rsidP="001A3367">
            <w:pPr>
              <w:pStyle w:val="BodyText"/>
              <w:numPr>
                <w:ilvl w:val="0"/>
                <w:numId w:val="15"/>
              </w:numPr>
              <w:overflowPunct/>
              <w:autoSpaceDE/>
              <w:autoSpaceDN/>
              <w:adjustRightInd/>
              <w:textAlignment w:val="auto"/>
              <w:rPr>
                <w:rFonts w:eastAsia="DengXian"/>
                <w:szCs w:val="20"/>
                <w:lang w:eastAsia="zh-CN"/>
              </w:rPr>
            </w:pPr>
            <w:r w:rsidRPr="0008116E">
              <w:rPr>
                <w:rFonts w:eastAsia="DengXian"/>
                <w:szCs w:val="20"/>
                <w:lang w:eastAsia="zh-CN"/>
              </w:rPr>
              <w:t>The following fields with “green” background are agreed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1540"/>
              <w:gridCol w:w="4126"/>
            </w:tblGrid>
            <w:tr w:rsidR="001A3367" w:rsidRPr="00F12FAC" w14:paraId="533EEABA" w14:textId="77777777" w:rsidTr="00105D75">
              <w:tc>
                <w:tcPr>
                  <w:tcW w:w="2976" w:type="dxa"/>
                  <w:shd w:val="clear" w:color="auto" w:fill="8EAADB"/>
                </w:tcPr>
                <w:p w14:paraId="79E434A3" w14:textId="77777777" w:rsidR="001A3367" w:rsidRPr="00F12FAC" w:rsidRDefault="001A3367" w:rsidP="00105D75">
                  <w:pPr>
                    <w:rPr>
                      <w:rFonts w:eastAsia="DengXian"/>
                      <w:b/>
                      <w:lang w:eastAsia="zh-CN"/>
                    </w:rPr>
                  </w:pPr>
                  <w:r w:rsidRPr="00F12FAC">
                    <w:rPr>
                      <w:rFonts w:eastAsia="DengXian" w:hint="eastAsia"/>
                      <w:b/>
                      <w:lang w:eastAsia="zh-CN"/>
                    </w:rPr>
                    <w:t>PSBCH contents</w:t>
                  </w:r>
                </w:p>
              </w:tc>
              <w:tc>
                <w:tcPr>
                  <w:tcW w:w="1560" w:type="dxa"/>
                  <w:shd w:val="clear" w:color="auto" w:fill="8EAADB"/>
                </w:tcPr>
                <w:p w14:paraId="42C43E29" w14:textId="77777777" w:rsidR="001A3367" w:rsidRPr="00F12FAC" w:rsidRDefault="001A3367" w:rsidP="00105D75">
                  <w:pPr>
                    <w:rPr>
                      <w:b/>
                      <w:lang w:eastAsia="zh-CN"/>
                    </w:rPr>
                  </w:pPr>
                  <w:r w:rsidRPr="00F12FAC">
                    <w:rPr>
                      <w:b/>
                      <w:lang w:eastAsia="zh-CN"/>
                    </w:rPr>
                    <w:t>Number of bits</w:t>
                  </w:r>
                </w:p>
              </w:tc>
              <w:tc>
                <w:tcPr>
                  <w:tcW w:w="4218" w:type="dxa"/>
                  <w:shd w:val="clear" w:color="auto" w:fill="8EAADB"/>
                </w:tcPr>
                <w:p w14:paraId="7D9188ED" w14:textId="77777777" w:rsidR="001A3367" w:rsidRPr="00F12FAC" w:rsidRDefault="001A3367" w:rsidP="00105D75">
                  <w:pPr>
                    <w:rPr>
                      <w:rFonts w:eastAsia="DengXian"/>
                      <w:b/>
                      <w:lang w:eastAsia="zh-CN"/>
                    </w:rPr>
                  </w:pPr>
                  <w:r w:rsidRPr="00F12FAC">
                    <w:rPr>
                      <w:rFonts w:eastAsia="DengXian" w:hint="eastAsia"/>
                      <w:b/>
                      <w:lang w:eastAsia="zh-CN"/>
                    </w:rPr>
                    <w:t>Notes</w:t>
                  </w:r>
                </w:p>
              </w:tc>
            </w:tr>
            <w:tr w:rsidR="001A3367" w:rsidRPr="00F12FAC" w14:paraId="4B4D2A38" w14:textId="77777777" w:rsidTr="00105D75">
              <w:tc>
                <w:tcPr>
                  <w:tcW w:w="2976" w:type="dxa"/>
                  <w:shd w:val="clear" w:color="auto" w:fill="auto"/>
                </w:tcPr>
                <w:p w14:paraId="2FBFBA83" w14:textId="77777777" w:rsidR="001A3367" w:rsidRPr="00F12FAC" w:rsidRDefault="001A3367" w:rsidP="00105D75">
                  <w:pPr>
                    <w:rPr>
                      <w:rFonts w:eastAsia="DengXian"/>
                      <w:lang w:eastAsia="zh-CN"/>
                    </w:rPr>
                  </w:pPr>
                  <w:r w:rsidRPr="00F12FAC">
                    <w:rPr>
                      <w:rFonts w:eastAsia="DengXian" w:hint="eastAsia"/>
                      <w:highlight w:val="green"/>
                      <w:lang w:eastAsia="zh-CN"/>
                    </w:rPr>
                    <w:t>DFN</w:t>
                  </w:r>
                </w:p>
              </w:tc>
              <w:tc>
                <w:tcPr>
                  <w:tcW w:w="1560" w:type="dxa"/>
                  <w:shd w:val="clear" w:color="auto" w:fill="auto"/>
                </w:tcPr>
                <w:p w14:paraId="6962FE5E" w14:textId="77777777" w:rsidR="001A3367" w:rsidRPr="00F12FAC" w:rsidRDefault="001A3367" w:rsidP="00105D75">
                  <w:pPr>
                    <w:rPr>
                      <w:rFonts w:eastAsia="DengXian"/>
                      <w:lang w:eastAsia="zh-CN"/>
                    </w:rPr>
                  </w:pPr>
                </w:p>
              </w:tc>
              <w:tc>
                <w:tcPr>
                  <w:tcW w:w="4218" w:type="dxa"/>
                  <w:shd w:val="clear" w:color="auto" w:fill="auto"/>
                </w:tcPr>
                <w:p w14:paraId="15C540A1" w14:textId="77777777" w:rsidR="001A3367" w:rsidRPr="00F12FAC" w:rsidRDefault="001A3367" w:rsidP="00105D75">
                  <w:pPr>
                    <w:rPr>
                      <w:rFonts w:eastAsia="DengXian"/>
                      <w:lang w:eastAsia="zh-CN"/>
                    </w:rPr>
                  </w:pPr>
                </w:p>
              </w:tc>
            </w:tr>
            <w:tr w:rsidR="001A3367" w:rsidRPr="00F12FAC" w14:paraId="7043D8F0" w14:textId="77777777" w:rsidTr="00105D75">
              <w:tc>
                <w:tcPr>
                  <w:tcW w:w="2976" w:type="dxa"/>
                  <w:shd w:val="clear" w:color="auto" w:fill="auto"/>
                </w:tcPr>
                <w:p w14:paraId="6A5975FE" w14:textId="77777777" w:rsidR="001A3367" w:rsidRPr="00F12FAC" w:rsidRDefault="001A3367" w:rsidP="00105D75">
                  <w:pPr>
                    <w:rPr>
                      <w:rFonts w:eastAsia="DengXian"/>
                      <w:highlight w:val="green"/>
                      <w:lang w:eastAsia="zh-CN"/>
                    </w:rPr>
                  </w:pPr>
                  <w:r w:rsidRPr="00F12FAC">
                    <w:rPr>
                      <w:rFonts w:eastAsia="DengXian"/>
                      <w:highlight w:val="green"/>
                      <w:lang w:eastAsia="zh-CN"/>
                    </w:rPr>
                    <w:t>I</w:t>
                  </w:r>
                  <w:r w:rsidRPr="00F12FAC">
                    <w:rPr>
                      <w:rFonts w:eastAsia="DengXian" w:hint="eastAsia"/>
                      <w:highlight w:val="green"/>
                      <w:lang w:eastAsia="zh-CN"/>
                    </w:rPr>
                    <w:t xml:space="preserve">ndication </w:t>
                  </w:r>
                  <w:r w:rsidRPr="00F12FAC">
                    <w:rPr>
                      <w:rFonts w:eastAsia="DengXian"/>
                      <w:highlight w:val="green"/>
                      <w:lang w:eastAsia="zh-CN"/>
                    </w:rPr>
                    <w:t>of TDD configuration</w:t>
                  </w:r>
                </w:p>
              </w:tc>
              <w:tc>
                <w:tcPr>
                  <w:tcW w:w="1560" w:type="dxa"/>
                  <w:shd w:val="clear" w:color="auto" w:fill="auto"/>
                </w:tcPr>
                <w:p w14:paraId="05106E57" w14:textId="77777777" w:rsidR="001A3367" w:rsidRPr="00F12FAC" w:rsidRDefault="001A3367" w:rsidP="00105D75">
                  <w:pPr>
                    <w:rPr>
                      <w:rFonts w:eastAsia="DengXian"/>
                      <w:highlight w:val="green"/>
                      <w:lang w:eastAsia="zh-CN"/>
                    </w:rPr>
                  </w:pPr>
                </w:p>
              </w:tc>
              <w:tc>
                <w:tcPr>
                  <w:tcW w:w="4218" w:type="dxa"/>
                  <w:shd w:val="clear" w:color="auto" w:fill="auto"/>
                </w:tcPr>
                <w:p w14:paraId="6265A3A5" w14:textId="77777777" w:rsidR="001A3367" w:rsidRPr="00F12FAC" w:rsidRDefault="001A3367" w:rsidP="00105D75">
                  <w:pPr>
                    <w:rPr>
                      <w:rFonts w:eastAsia="DengXian"/>
                      <w:highlight w:val="green"/>
                      <w:lang w:eastAsia="zh-CN"/>
                    </w:rPr>
                  </w:pPr>
                  <w:r w:rsidRPr="00F12FAC">
                    <w:rPr>
                      <w:rFonts w:eastAsia="DengXian"/>
                      <w:highlight w:val="green"/>
                      <w:lang w:eastAsia="zh-CN"/>
                    </w:rPr>
                    <w:t>S</w:t>
                  </w:r>
                  <w:r w:rsidRPr="00F12FAC">
                    <w:rPr>
                      <w:rFonts w:eastAsia="DengXian" w:hint="eastAsia"/>
                      <w:highlight w:val="green"/>
                      <w:lang w:eastAsia="zh-CN"/>
                    </w:rPr>
                    <w:t>ystem-wide information, e.g. TDD-UL-DL common configuration</w:t>
                  </w:r>
                  <w:r w:rsidRPr="00F12FAC">
                    <w:rPr>
                      <w:rFonts w:eastAsia="DengXian"/>
                      <w:highlight w:val="green"/>
                      <w:lang w:eastAsia="zh-CN"/>
                    </w:rPr>
                    <w:t xml:space="preserve"> and/or </w:t>
                  </w:r>
                  <w:r w:rsidRPr="00F12FAC">
                    <w:rPr>
                      <w:rFonts w:eastAsia="DengXian" w:hint="eastAsia"/>
                      <w:highlight w:val="green"/>
                      <w:lang w:eastAsia="zh-CN"/>
                    </w:rPr>
                    <w:t>potential SL slots</w:t>
                  </w:r>
                </w:p>
              </w:tc>
            </w:tr>
            <w:tr w:rsidR="001A3367" w:rsidRPr="00F12FAC" w14:paraId="5E4B9E7B" w14:textId="77777777" w:rsidTr="00105D75">
              <w:tc>
                <w:tcPr>
                  <w:tcW w:w="2976" w:type="dxa"/>
                  <w:shd w:val="clear" w:color="auto" w:fill="auto"/>
                </w:tcPr>
                <w:p w14:paraId="75E673E2" w14:textId="77777777" w:rsidR="001A3367" w:rsidRPr="00AA3F73" w:rsidRDefault="001A3367" w:rsidP="00105D75">
                  <w:pPr>
                    <w:rPr>
                      <w:rFonts w:eastAsia="DengXian"/>
                      <w:lang w:eastAsia="zh-CN"/>
                    </w:rPr>
                  </w:pPr>
                  <w:r w:rsidRPr="00B9413E">
                    <w:rPr>
                      <w:rFonts w:eastAsia="DengXian" w:hint="eastAsia"/>
                      <w:highlight w:val="darkGray"/>
                      <w:lang w:eastAsia="zh-CN"/>
                    </w:rPr>
                    <w:t>SL-BWP information</w:t>
                  </w:r>
                </w:p>
              </w:tc>
              <w:tc>
                <w:tcPr>
                  <w:tcW w:w="1560" w:type="dxa"/>
                  <w:shd w:val="clear" w:color="auto" w:fill="auto"/>
                </w:tcPr>
                <w:p w14:paraId="24F89951" w14:textId="77777777" w:rsidR="001A3367" w:rsidRPr="00AA3F73" w:rsidRDefault="001A3367" w:rsidP="00105D75">
                  <w:pPr>
                    <w:rPr>
                      <w:rFonts w:eastAsia="DengXian"/>
                      <w:lang w:eastAsia="zh-CN"/>
                    </w:rPr>
                  </w:pPr>
                </w:p>
              </w:tc>
              <w:tc>
                <w:tcPr>
                  <w:tcW w:w="4218" w:type="dxa"/>
                  <w:shd w:val="clear" w:color="auto" w:fill="auto"/>
                </w:tcPr>
                <w:p w14:paraId="701E87C6" w14:textId="77777777" w:rsidR="001A3367" w:rsidRPr="00AA3F73" w:rsidRDefault="001A3367" w:rsidP="00105D75">
                  <w:pPr>
                    <w:rPr>
                      <w:rFonts w:eastAsia="DengXian"/>
                      <w:lang w:eastAsia="zh-CN"/>
                    </w:rPr>
                  </w:pPr>
                </w:p>
              </w:tc>
            </w:tr>
            <w:tr w:rsidR="001A3367" w:rsidRPr="00AA3F73" w14:paraId="39F75776" w14:textId="77777777" w:rsidTr="00105D75">
              <w:tc>
                <w:tcPr>
                  <w:tcW w:w="2976" w:type="dxa"/>
                  <w:shd w:val="clear" w:color="auto" w:fill="auto"/>
                </w:tcPr>
                <w:p w14:paraId="160BAFB9" w14:textId="77777777" w:rsidR="001A3367" w:rsidRPr="00AA3F73" w:rsidRDefault="001A3367" w:rsidP="00105D75">
                  <w:pPr>
                    <w:rPr>
                      <w:rFonts w:eastAsia="DengXian"/>
                      <w:highlight w:val="green"/>
                      <w:lang w:eastAsia="zh-CN"/>
                    </w:rPr>
                  </w:pPr>
                  <w:r w:rsidRPr="00AA3F73">
                    <w:rPr>
                      <w:rFonts w:eastAsia="DengXian"/>
                      <w:highlight w:val="green"/>
                      <w:lang w:eastAsia="zh-CN"/>
                    </w:rPr>
                    <w:t>I</w:t>
                  </w:r>
                  <w:r w:rsidRPr="00AA3F73">
                    <w:rPr>
                      <w:rFonts w:eastAsia="DengXian" w:hint="eastAsia"/>
                      <w:highlight w:val="green"/>
                      <w:lang w:eastAsia="zh-CN"/>
                    </w:rPr>
                    <w:t>n-coverage indicator</w:t>
                  </w:r>
                </w:p>
              </w:tc>
              <w:tc>
                <w:tcPr>
                  <w:tcW w:w="1560" w:type="dxa"/>
                  <w:shd w:val="clear" w:color="auto" w:fill="auto"/>
                </w:tcPr>
                <w:p w14:paraId="59611A48" w14:textId="77777777" w:rsidR="001A3367" w:rsidRPr="00AA3F73" w:rsidRDefault="001A3367" w:rsidP="00105D75">
                  <w:pPr>
                    <w:rPr>
                      <w:rFonts w:eastAsia="DengXian"/>
                      <w:highlight w:val="green"/>
                      <w:lang w:eastAsia="zh-CN"/>
                    </w:rPr>
                  </w:pPr>
                </w:p>
              </w:tc>
              <w:tc>
                <w:tcPr>
                  <w:tcW w:w="4218" w:type="dxa"/>
                  <w:shd w:val="clear" w:color="auto" w:fill="auto"/>
                </w:tcPr>
                <w:p w14:paraId="7D3A2055" w14:textId="77777777" w:rsidR="001A3367" w:rsidRPr="00AA3F73" w:rsidRDefault="001A3367" w:rsidP="00105D75">
                  <w:pPr>
                    <w:rPr>
                      <w:rFonts w:eastAsia="DengXian"/>
                      <w:highlight w:val="green"/>
                      <w:lang w:eastAsia="zh-CN"/>
                    </w:rPr>
                  </w:pPr>
                </w:p>
              </w:tc>
            </w:tr>
            <w:tr w:rsidR="001A3367" w:rsidRPr="00F12FAC" w14:paraId="2DBBA72B" w14:textId="77777777" w:rsidTr="00105D75">
              <w:tc>
                <w:tcPr>
                  <w:tcW w:w="2976" w:type="dxa"/>
                  <w:shd w:val="clear" w:color="auto" w:fill="auto"/>
                </w:tcPr>
                <w:p w14:paraId="60E32A00" w14:textId="77777777" w:rsidR="001A3367" w:rsidRPr="00B9413E" w:rsidRDefault="001A3367" w:rsidP="00105D75">
                  <w:pPr>
                    <w:rPr>
                      <w:rFonts w:eastAsia="DengXian"/>
                      <w:lang w:eastAsia="zh-CN"/>
                    </w:rPr>
                  </w:pPr>
                  <w:r w:rsidRPr="00B9413E">
                    <w:rPr>
                      <w:rFonts w:eastAsia="DengXian" w:hint="eastAsia"/>
                      <w:highlight w:val="darkGray"/>
                      <w:lang w:eastAsia="zh-CN"/>
                    </w:rPr>
                    <w:t>Type of sync source</w:t>
                  </w:r>
                </w:p>
              </w:tc>
              <w:tc>
                <w:tcPr>
                  <w:tcW w:w="1560" w:type="dxa"/>
                  <w:shd w:val="clear" w:color="auto" w:fill="auto"/>
                </w:tcPr>
                <w:p w14:paraId="05CF1D91" w14:textId="77777777" w:rsidR="001A3367" w:rsidRPr="00F12FAC" w:rsidRDefault="001A3367" w:rsidP="00105D75">
                  <w:pPr>
                    <w:rPr>
                      <w:rFonts w:eastAsia="DengXian"/>
                      <w:highlight w:val="darkGray"/>
                      <w:lang w:eastAsia="zh-CN"/>
                    </w:rPr>
                  </w:pPr>
                </w:p>
              </w:tc>
              <w:tc>
                <w:tcPr>
                  <w:tcW w:w="4218" w:type="dxa"/>
                  <w:shd w:val="clear" w:color="auto" w:fill="auto"/>
                </w:tcPr>
                <w:p w14:paraId="75ADF5CD" w14:textId="77777777" w:rsidR="001A3367" w:rsidRPr="00F12FAC" w:rsidRDefault="001A3367" w:rsidP="00105D75">
                  <w:pPr>
                    <w:rPr>
                      <w:rFonts w:eastAsia="DengXian"/>
                      <w:highlight w:val="darkGray"/>
                      <w:lang w:eastAsia="zh-CN"/>
                    </w:rPr>
                  </w:pPr>
                </w:p>
              </w:tc>
            </w:tr>
            <w:tr w:rsidR="001A3367" w:rsidRPr="00F12FAC" w14:paraId="5D3BB3CB" w14:textId="77777777" w:rsidTr="00105D75">
              <w:tc>
                <w:tcPr>
                  <w:tcW w:w="2976" w:type="dxa"/>
                  <w:shd w:val="clear" w:color="auto" w:fill="auto"/>
                </w:tcPr>
                <w:p w14:paraId="1308F377" w14:textId="77777777" w:rsidR="001A3367" w:rsidRPr="004339B7" w:rsidRDefault="001A3367" w:rsidP="00105D75">
                  <w:pPr>
                    <w:rPr>
                      <w:rFonts w:eastAsia="DengXian"/>
                      <w:color w:val="000000"/>
                      <w:highlight w:val="darkGray"/>
                      <w:lang w:eastAsia="zh-CN"/>
                    </w:rPr>
                  </w:pPr>
                  <w:r w:rsidRPr="004339B7">
                    <w:rPr>
                      <w:rFonts w:eastAsia="DengXian"/>
                      <w:color w:val="000000"/>
                      <w:highlight w:val="darkGray"/>
                      <w:lang w:eastAsia="zh-CN"/>
                    </w:rPr>
                    <w:t>S</w:t>
                  </w:r>
                  <w:r w:rsidRPr="004339B7">
                    <w:rPr>
                      <w:rFonts w:eastAsia="DengXian" w:hint="eastAsia"/>
                      <w:color w:val="000000"/>
                      <w:highlight w:val="darkGray"/>
                      <w:lang w:eastAsia="zh-CN"/>
                    </w:rPr>
                    <w:t>lot index within a subframe</w:t>
                  </w:r>
                </w:p>
              </w:tc>
              <w:tc>
                <w:tcPr>
                  <w:tcW w:w="1560" w:type="dxa"/>
                  <w:shd w:val="clear" w:color="auto" w:fill="auto"/>
                </w:tcPr>
                <w:p w14:paraId="5970E3B6" w14:textId="77777777" w:rsidR="001A3367" w:rsidRPr="00F12FAC" w:rsidRDefault="001A3367" w:rsidP="00105D75">
                  <w:pPr>
                    <w:rPr>
                      <w:highlight w:val="darkGray"/>
                      <w:lang w:eastAsia="zh-CN"/>
                    </w:rPr>
                  </w:pPr>
                </w:p>
              </w:tc>
              <w:tc>
                <w:tcPr>
                  <w:tcW w:w="4218" w:type="dxa"/>
                  <w:shd w:val="clear" w:color="auto" w:fill="auto"/>
                </w:tcPr>
                <w:p w14:paraId="5ADCA1E5" w14:textId="77777777" w:rsidR="001A3367" w:rsidRPr="00F12FAC" w:rsidRDefault="001A3367" w:rsidP="00105D75">
                  <w:pPr>
                    <w:rPr>
                      <w:highlight w:val="darkGray"/>
                      <w:lang w:eastAsia="zh-CN"/>
                    </w:rPr>
                  </w:pPr>
                </w:p>
              </w:tc>
            </w:tr>
            <w:tr w:rsidR="001A3367" w:rsidRPr="00F12FAC" w14:paraId="1447CA2A" w14:textId="77777777" w:rsidTr="00105D75">
              <w:tc>
                <w:tcPr>
                  <w:tcW w:w="2976" w:type="dxa"/>
                  <w:shd w:val="clear" w:color="auto" w:fill="auto"/>
                </w:tcPr>
                <w:p w14:paraId="566D5846" w14:textId="77777777" w:rsidR="001A3367" w:rsidRPr="00F12FAC" w:rsidRDefault="001A3367" w:rsidP="00105D75">
                  <w:pPr>
                    <w:rPr>
                      <w:rFonts w:eastAsia="DengXian"/>
                      <w:highlight w:val="lightGray"/>
                      <w:lang w:eastAsia="zh-CN"/>
                    </w:rPr>
                  </w:pPr>
                  <w:r w:rsidRPr="00F12FAC">
                    <w:rPr>
                      <w:rFonts w:eastAsia="DengXian"/>
                      <w:highlight w:val="lightGray"/>
                      <w:lang w:eastAsia="zh-CN"/>
                    </w:rPr>
                    <w:lastRenderedPageBreak/>
                    <w:t>???</w:t>
                  </w:r>
                </w:p>
              </w:tc>
              <w:tc>
                <w:tcPr>
                  <w:tcW w:w="1560" w:type="dxa"/>
                  <w:shd w:val="clear" w:color="auto" w:fill="auto"/>
                </w:tcPr>
                <w:p w14:paraId="3BE053FD" w14:textId="77777777" w:rsidR="001A3367" w:rsidRPr="00F12FAC" w:rsidRDefault="001A3367" w:rsidP="00105D75">
                  <w:pPr>
                    <w:rPr>
                      <w:highlight w:val="lightGray"/>
                      <w:lang w:eastAsia="zh-CN"/>
                    </w:rPr>
                  </w:pPr>
                </w:p>
              </w:tc>
              <w:tc>
                <w:tcPr>
                  <w:tcW w:w="4218" w:type="dxa"/>
                  <w:shd w:val="clear" w:color="auto" w:fill="auto"/>
                </w:tcPr>
                <w:p w14:paraId="2802F398" w14:textId="77777777" w:rsidR="001A3367" w:rsidRPr="00F12FAC" w:rsidRDefault="001A3367" w:rsidP="00105D75">
                  <w:pPr>
                    <w:rPr>
                      <w:highlight w:val="lightGray"/>
                      <w:lang w:eastAsia="zh-CN"/>
                    </w:rPr>
                  </w:pPr>
                </w:p>
              </w:tc>
            </w:tr>
            <w:tr w:rsidR="001A3367" w:rsidRPr="00F12FAC" w14:paraId="3A171FB7" w14:textId="77777777" w:rsidTr="00105D75">
              <w:tc>
                <w:tcPr>
                  <w:tcW w:w="2976" w:type="dxa"/>
                  <w:shd w:val="clear" w:color="auto" w:fill="auto"/>
                </w:tcPr>
                <w:p w14:paraId="21236CB9" w14:textId="77777777" w:rsidR="001A3367" w:rsidRPr="00F12FAC" w:rsidRDefault="001A3367" w:rsidP="00105D75">
                  <w:pPr>
                    <w:rPr>
                      <w:highlight w:val="green"/>
                      <w:lang w:eastAsia="zh-CN"/>
                    </w:rPr>
                  </w:pPr>
                  <w:r w:rsidRPr="00F12FAC">
                    <w:rPr>
                      <w:rFonts w:hint="eastAsia"/>
                      <w:highlight w:val="green"/>
                      <w:lang w:eastAsia="zh-CN"/>
                    </w:rPr>
                    <w:t>CRC</w:t>
                  </w:r>
                </w:p>
              </w:tc>
              <w:tc>
                <w:tcPr>
                  <w:tcW w:w="1560" w:type="dxa"/>
                  <w:shd w:val="clear" w:color="auto" w:fill="auto"/>
                </w:tcPr>
                <w:p w14:paraId="670EC946" w14:textId="77777777" w:rsidR="001A3367" w:rsidRPr="00F12FAC" w:rsidRDefault="001A3367" w:rsidP="00105D75">
                  <w:pPr>
                    <w:rPr>
                      <w:highlight w:val="green"/>
                      <w:lang w:eastAsia="zh-CN"/>
                    </w:rPr>
                  </w:pPr>
                  <w:r w:rsidRPr="00F12FAC">
                    <w:rPr>
                      <w:rFonts w:hint="eastAsia"/>
                      <w:highlight w:val="green"/>
                      <w:lang w:eastAsia="zh-CN"/>
                    </w:rPr>
                    <w:t>24</w:t>
                  </w:r>
                </w:p>
              </w:tc>
              <w:tc>
                <w:tcPr>
                  <w:tcW w:w="4218" w:type="dxa"/>
                  <w:shd w:val="clear" w:color="auto" w:fill="auto"/>
                </w:tcPr>
                <w:p w14:paraId="3D4C7AFD" w14:textId="77777777" w:rsidR="001A3367" w:rsidRPr="00F12FAC" w:rsidRDefault="001A3367" w:rsidP="00105D75">
                  <w:pPr>
                    <w:rPr>
                      <w:lang w:eastAsia="zh-CN"/>
                    </w:rPr>
                  </w:pPr>
                </w:p>
              </w:tc>
            </w:tr>
            <w:tr w:rsidR="001A3367" w:rsidRPr="00F12FAC" w14:paraId="607D3486" w14:textId="77777777" w:rsidTr="00105D75">
              <w:tc>
                <w:tcPr>
                  <w:tcW w:w="2976" w:type="dxa"/>
                  <w:shd w:val="clear" w:color="auto" w:fill="auto"/>
                </w:tcPr>
                <w:p w14:paraId="24288739" w14:textId="77777777" w:rsidR="001A3367" w:rsidRPr="00F12FAC" w:rsidRDefault="001A3367" w:rsidP="00105D75">
                  <w:pPr>
                    <w:rPr>
                      <w:rFonts w:eastAsia="DengXian"/>
                      <w:lang w:eastAsia="zh-CN"/>
                    </w:rPr>
                  </w:pPr>
                  <w:r w:rsidRPr="00F12FAC">
                    <w:rPr>
                      <w:rFonts w:hint="eastAsia"/>
                      <w:lang w:eastAsia="zh-CN"/>
                    </w:rPr>
                    <w:t>Total bit</w:t>
                  </w:r>
                  <w:r w:rsidRPr="00F12FAC">
                    <w:rPr>
                      <w:rFonts w:eastAsia="DengXian" w:hint="eastAsia"/>
                      <w:lang w:eastAsia="zh-CN"/>
                    </w:rPr>
                    <w:t>s</w:t>
                  </w:r>
                </w:p>
              </w:tc>
              <w:tc>
                <w:tcPr>
                  <w:tcW w:w="1560" w:type="dxa"/>
                  <w:shd w:val="clear" w:color="auto" w:fill="auto"/>
                </w:tcPr>
                <w:p w14:paraId="41D86415" w14:textId="77777777" w:rsidR="001A3367" w:rsidRPr="00F12FAC" w:rsidRDefault="001A3367" w:rsidP="00105D75">
                  <w:pPr>
                    <w:rPr>
                      <w:rFonts w:eastAsia="DengXian"/>
                      <w:lang w:eastAsia="zh-CN"/>
                    </w:rPr>
                  </w:pPr>
                </w:p>
              </w:tc>
              <w:tc>
                <w:tcPr>
                  <w:tcW w:w="4218" w:type="dxa"/>
                  <w:shd w:val="clear" w:color="auto" w:fill="auto"/>
                </w:tcPr>
                <w:p w14:paraId="25845352" w14:textId="77777777" w:rsidR="001A3367" w:rsidRPr="00F12FAC" w:rsidRDefault="001A3367" w:rsidP="00105D75">
                  <w:pPr>
                    <w:rPr>
                      <w:rFonts w:eastAsia="DengXian"/>
                      <w:lang w:eastAsia="zh-CN"/>
                    </w:rPr>
                  </w:pPr>
                </w:p>
              </w:tc>
            </w:tr>
          </w:tbl>
          <w:p w14:paraId="3E54DA50" w14:textId="77777777" w:rsidR="001A3367" w:rsidRDefault="001A3367" w:rsidP="00105D75">
            <w:pPr>
              <w:jc w:val="both"/>
            </w:pPr>
          </w:p>
        </w:tc>
      </w:tr>
    </w:tbl>
    <w:p w14:paraId="5CB00CED" w14:textId="77777777" w:rsidR="001A3367" w:rsidRDefault="001A3367" w:rsidP="001A3367">
      <w:pPr>
        <w:jc w:val="both"/>
      </w:pPr>
    </w:p>
    <w:p w14:paraId="68ECD549" w14:textId="77777777" w:rsidR="001A3367" w:rsidRDefault="001A3367" w:rsidP="001A3367">
      <w:pPr>
        <w:pStyle w:val="ListParagraph"/>
        <w:numPr>
          <w:ilvl w:val="0"/>
          <w:numId w:val="16"/>
        </w:numPr>
        <w:ind w:left="360"/>
        <w:jc w:val="both"/>
      </w:pPr>
      <w:r>
        <w:t>TDD configuration</w:t>
      </w:r>
    </w:p>
    <w:p w14:paraId="60BF2EA7" w14:textId="77777777" w:rsidR="001A3367" w:rsidRDefault="001A3367" w:rsidP="001A3367">
      <w:pPr>
        <w:jc w:val="both"/>
      </w:pPr>
      <w:r>
        <w:t xml:space="preserve">NR TDD configuration is very flexible, which means </w:t>
      </w:r>
      <w:proofErr w:type="gramStart"/>
      <w:r>
        <w:t>a large number of</w:t>
      </w:r>
      <w:proofErr w:type="gramEnd"/>
      <w:r>
        <w:t xml:space="preserve"> bits is needed to convey the configuration. For example, ~50 bits are needed to configure the two common TDD UL/DL patterns. Considering the signaling overhead, it seems not feasible to </w:t>
      </w:r>
      <w:r w:rsidR="00E77B64">
        <w:t xml:space="preserve">directly </w:t>
      </w:r>
      <w:r>
        <w:t>carry the NR TDD configuration in PSBCH.</w:t>
      </w:r>
    </w:p>
    <w:p w14:paraId="216DB468" w14:textId="77777777" w:rsidR="001A3367" w:rsidRDefault="001A3367" w:rsidP="001A3367">
      <w:pPr>
        <w:jc w:val="both"/>
      </w:pPr>
      <w:r>
        <w:t xml:space="preserve">To reduce the TDD configuration signaling overhead, a set of TDD UL/DL configurations can be preconfigured. When UEs communicating on sidelink require TDD configuration, one of the preconfigured configurations that matches gNB TDD configuration </w:t>
      </w:r>
      <w:r w:rsidR="00D7052B">
        <w:t xml:space="preserve">the most </w:t>
      </w:r>
      <w:r>
        <w:t>can be selected. So only the index of the selected TDD configuration needs to be indicated in S-SSB.</w:t>
      </w:r>
      <w:r w:rsidR="00A82473">
        <w:t xml:space="preserve"> </w:t>
      </w:r>
    </w:p>
    <w:p w14:paraId="08AEB74D" w14:textId="77777777" w:rsidR="001A3367" w:rsidRDefault="001A3367" w:rsidP="001A3367">
      <w:pPr>
        <w:jc w:val="both"/>
      </w:pPr>
      <w:r w:rsidRPr="00F32770">
        <w:rPr>
          <w:b/>
        </w:rPr>
        <w:t xml:space="preserve">Proposal </w:t>
      </w:r>
      <w:r>
        <w:rPr>
          <w:b/>
        </w:rPr>
        <w:t>2a</w:t>
      </w:r>
      <w:r>
        <w:t>: A set of TDD configurations and their associated parameters are (pre)configured</w:t>
      </w:r>
      <w:r w:rsidR="00756420">
        <w:t>;</w:t>
      </w:r>
      <w:r>
        <w:t xml:space="preserve"> PSBCH carries index of a TDD configuration that is selected from the set.</w:t>
      </w:r>
    </w:p>
    <w:p w14:paraId="31BABD52" w14:textId="77777777" w:rsidR="001A3367" w:rsidRDefault="001A3367" w:rsidP="001A3367">
      <w:pPr>
        <w:pStyle w:val="ListParagraph"/>
        <w:numPr>
          <w:ilvl w:val="0"/>
          <w:numId w:val="16"/>
        </w:numPr>
        <w:ind w:left="360"/>
        <w:jc w:val="both"/>
      </w:pPr>
      <w:r>
        <w:t>SL BWP information</w:t>
      </w:r>
    </w:p>
    <w:p w14:paraId="63FDBD0B" w14:textId="79834F9F" w:rsidR="001A3367" w:rsidRDefault="001A3367" w:rsidP="001A3367">
      <w:pPr>
        <w:jc w:val="both"/>
      </w:pPr>
      <w:r>
        <w:t>For V2X communications, the parameter related to BWP can be (pre)configured</w:t>
      </w:r>
      <w:r w:rsidR="00756420">
        <w:t>; f</w:t>
      </w:r>
      <w:r>
        <w:t xml:space="preserve">or example, sidelink bandwidth and resource pool, S-SSB frequency location, etc. </w:t>
      </w:r>
      <w:r w:rsidR="00562F17">
        <w:t>As a result</w:t>
      </w:r>
      <w:r>
        <w:t>, there is no need to indicate BWP related information in PSBCH.</w:t>
      </w:r>
    </w:p>
    <w:p w14:paraId="184A2910" w14:textId="77777777" w:rsidR="001A3367" w:rsidRDefault="001A3367" w:rsidP="001A3367">
      <w:pPr>
        <w:jc w:val="both"/>
      </w:pPr>
      <w:r w:rsidRPr="001A3367">
        <w:rPr>
          <w:b/>
        </w:rPr>
        <w:t>Proposal 2b</w:t>
      </w:r>
      <w:r>
        <w:t>: PSBCH does not carry SL BWP information.</w:t>
      </w:r>
    </w:p>
    <w:p w14:paraId="70160B06" w14:textId="77777777" w:rsidR="001A3367" w:rsidRDefault="001A3367" w:rsidP="001A3367">
      <w:pPr>
        <w:pStyle w:val="ListParagraph"/>
        <w:numPr>
          <w:ilvl w:val="0"/>
          <w:numId w:val="16"/>
        </w:numPr>
        <w:ind w:left="360"/>
        <w:jc w:val="both"/>
      </w:pPr>
      <w:r>
        <w:t>Type of sync source</w:t>
      </w:r>
    </w:p>
    <w:p w14:paraId="18B1D892" w14:textId="77777777" w:rsidR="001A3367" w:rsidRDefault="00756420" w:rsidP="001A3367">
      <w:pPr>
        <w:jc w:val="both"/>
      </w:pPr>
      <w:r>
        <w:t>Based on agreement from RAN1#98bis, s</w:t>
      </w:r>
      <w:r w:rsidR="001A3367">
        <w:t xml:space="preserve">ynchronization source type is implied by SLSS ID, </w:t>
      </w:r>
      <w:r w:rsidR="0080129B">
        <w:t>the same</w:t>
      </w:r>
      <w:r w:rsidR="001A3367">
        <w:t xml:space="preserve"> as in LTE V2X</w:t>
      </w:r>
      <w:r w:rsidR="00040842">
        <w:t xml:space="preserve"> [2]</w:t>
      </w:r>
      <w:r w:rsidR="001A3367">
        <w:t>:</w:t>
      </w:r>
    </w:p>
    <w:tbl>
      <w:tblPr>
        <w:tblStyle w:val="TableGrid"/>
        <w:tblW w:w="0" w:type="auto"/>
        <w:tblLook w:val="04A0" w:firstRow="1" w:lastRow="0" w:firstColumn="1" w:lastColumn="0" w:noHBand="0" w:noVBand="1"/>
      </w:tblPr>
      <w:tblGrid>
        <w:gridCol w:w="9350"/>
      </w:tblGrid>
      <w:tr w:rsidR="001A3367" w14:paraId="5A756897" w14:textId="77777777" w:rsidTr="00105D75">
        <w:tc>
          <w:tcPr>
            <w:tcW w:w="9350" w:type="dxa"/>
          </w:tcPr>
          <w:p w14:paraId="79CE2863" w14:textId="77777777" w:rsidR="001A3367" w:rsidRPr="009076AC" w:rsidRDefault="001A3367" w:rsidP="00105D75">
            <w:pPr>
              <w:pStyle w:val="BodyText"/>
              <w:rPr>
                <w:rFonts w:eastAsia="DengXian"/>
                <w:b/>
                <w:bCs/>
                <w:szCs w:val="20"/>
                <w:lang w:eastAsia="zh-CN"/>
              </w:rPr>
            </w:pPr>
            <w:r w:rsidRPr="009076AC">
              <w:rPr>
                <w:rFonts w:eastAsia="DengXian"/>
                <w:szCs w:val="20"/>
                <w:highlight w:val="green"/>
                <w:lang w:eastAsia="zh-CN"/>
              </w:rPr>
              <w:t>Agreements</w:t>
            </w:r>
            <w:r w:rsidRPr="009076AC">
              <w:rPr>
                <w:rFonts w:eastAsia="DengXian"/>
                <w:b/>
                <w:bCs/>
                <w:szCs w:val="20"/>
                <w:lang w:eastAsia="zh-CN"/>
              </w:rPr>
              <w:t>:</w:t>
            </w:r>
          </w:p>
          <w:p w14:paraId="74F04583" w14:textId="77777777" w:rsidR="001A3367" w:rsidRPr="009076AC" w:rsidRDefault="001A3367" w:rsidP="00105D75">
            <w:pPr>
              <w:spacing w:beforeLines="50" w:before="120" w:afterLines="50" w:after="120"/>
              <w:rPr>
                <w:rFonts w:eastAsia="DengXian"/>
                <w:bCs/>
                <w:iCs/>
                <w:lang w:eastAsia="zh-CN"/>
              </w:rPr>
            </w:pPr>
            <w:r w:rsidRPr="009076AC">
              <w:rPr>
                <w:rFonts w:eastAsia="DengXian" w:hint="eastAsia"/>
                <w:bCs/>
                <w:iCs/>
                <w:lang w:eastAsia="zh-CN"/>
              </w:rPr>
              <w:t xml:space="preserve">672 </w:t>
            </w:r>
            <w:r w:rsidRPr="009076AC">
              <w:rPr>
                <w:rFonts w:eastAsia="DengXian"/>
                <w:bCs/>
                <w:iCs/>
                <w:lang w:eastAsia="zh-CN"/>
              </w:rPr>
              <w:t>SL</w:t>
            </w:r>
            <w:r w:rsidRPr="009076AC">
              <w:rPr>
                <w:rFonts w:eastAsia="DengXian" w:hint="eastAsia"/>
                <w:bCs/>
                <w:iCs/>
                <w:lang w:eastAsia="zh-CN"/>
              </w:rPr>
              <w:t>-</w:t>
            </w:r>
            <w:r w:rsidRPr="009076AC">
              <w:rPr>
                <w:rFonts w:eastAsia="DengXian"/>
                <w:bCs/>
                <w:iCs/>
                <w:lang w:eastAsia="zh-CN"/>
              </w:rPr>
              <w:t xml:space="preserve">SSIDs </w:t>
            </w:r>
            <w:r w:rsidRPr="009076AC">
              <w:rPr>
                <w:rFonts w:eastAsia="DengXian" w:hint="eastAsia"/>
                <w:bCs/>
                <w:iCs/>
                <w:lang w:eastAsia="zh-CN"/>
              </w:rPr>
              <w:t>are</w:t>
            </w:r>
            <w:r w:rsidRPr="009076AC">
              <w:rPr>
                <w:rFonts w:eastAsia="DengXian"/>
                <w:bCs/>
                <w:iCs/>
                <w:lang w:eastAsia="zh-CN"/>
              </w:rPr>
              <w:t xml:space="preserve"> divided into 2 </w:t>
            </w:r>
            <w:r w:rsidRPr="009076AC">
              <w:rPr>
                <w:bCs/>
                <w:iCs/>
              </w:rPr>
              <w:t>sets to indicate different synchronization priorities</w:t>
            </w:r>
            <w:r w:rsidRPr="009076AC">
              <w:rPr>
                <w:rFonts w:eastAsia="DengXian"/>
                <w:bCs/>
                <w:iCs/>
                <w:lang w:eastAsia="zh-CN"/>
              </w:rPr>
              <w:t xml:space="preserve"> following a similar approach as in LTE-V2X</w:t>
            </w:r>
            <w:r w:rsidRPr="009076AC">
              <w:rPr>
                <w:rFonts w:eastAsia="DengXian" w:hint="eastAsia"/>
                <w:bCs/>
                <w:iCs/>
                <w:lang w:eastAsia="zh-CN"/>
              </w:rPr>
              <w:t xml:space="preserve">: </w:t>
            </w:r>
          </w:p>
          <w:p w14:paraId="40A7B3FE" w14:textId="77777777" w:rsidR="001A3367" w:rsidRPr="009076AC" w:rsidRDefault="001A3367" w:rsidP="001A3367">
            <w:pPr>
              <w:pStyle w:val="ListParagraph"/>
              <w:numPr>
                <w:ilvl w:val="0"/>
                <w:numId w:val="17"/>
              </w:numPr>
              <w:spacing w:beforeLines="50" w:before="120" w:afterLines="50" w:after="120"/>
              <w:contextualSpacing w:val="0"/>
              <w:rPr>
                <w:rFonts w:eastAsia="DengXian"/>
                <w:bCs/>
                <w:iCs/>
              </w:rPr>
            </w:pPr>
            <w:r w:rsidRPr="009076AC">
              <w:rPr>
                <w:rFonts w:eastAsia="DengXian"/>
                <w:bCs/>
                <w:iCs/>
              </w:rPr>
              <w:t xml:space="preserve">Set </w:t>
            </w:r>
            <w:proofErr w:type="spellStart"/>
            <w:r w:rsidRPr="009076AC">
              <w:rPr>
                <w:rFonts w:eastAsia="DengXian"/>
                <w:bCs/>
                <w:iCs/>
              </w:rPr>
              <w:t>id_net</w:t>
            </w:r>
            <w:proofErr w:type="spellEnd"/>
            <w:r w:rsidRPr="009076AC">
              <w:rPr>
                <w:rFonts w:eastAsia="DengXian"/>
                <w:bCs/>
                <w:iCs/>
              </w:rPr>
              <w:t xml:space="preserve"> {0, 1, …, 335}</w:t>
            </w:r>
          </w:p>
          <w:p w14:paraId="7CB0E56C" w14:textId="77777777" w:rsidR="001A3367" w:rsidRPr="009076AC" w:rsidRDefault="001A3367" w:rsidP="001A3367">
            <w:pPr>
              <w:pStyle w:val="ListParagraph"/>
              <w:numPr>
                <w:ilvl w:val="0"/>
                <w:numId w:val="17"/>
              </w:numPr>
              <w:spacing w:beforeLines="50" w:before="120" w:afterLines="50" w:after="120"/>
              <w:contextualSpacing w:val="0"/>
              <w:rPr>
                <w:rFonts w:eastAsia="DengXian"/>
                <w:bCs/>
                <w:iCs/>
                <w:lang w:eastAsia="zh-CN"/>
              </w:rPr>
            </w:pPr>
            <w:r w:rsidRPr="009076AC">
              <w:rPr>
                <w:rFonts w:eastAsia="DengXian"/>
                <w:bCs/>
                <w:iCs/>
              </w:rPr>
              <w:t xml:space="preserve">Set </w:t>
            </w:r>
            <w:proofErr w:type="spellStart"/>
            <w:r w:rsidRPr="009076AC">
              <w:rPr>
                <w:rFonts w:eastAsia="DengXian"/>
                <w:bCs/>
                <w:iCs/>
              </w:rPr>
              <w:t>id_</w:t>
            </w:r>
            <w:proofErr w:type="gramStart"/>
            <w:r w:rsidRPr="009076AC">
              <w:rPr>
                <w:rFonts w:eastAsia="DengXian"/>
                <w:bCs/>
                <w:iCs/>
              </w:rPr>
              <w:t>oon</w:t>
            </w:r>
            <w:proofErr w:type="spellEnd"/>
            <w:r w:rsidRPr="009076AC">
              <w:rPr>
                <w:rFonts w:eastAsia="DengXian"/>
                <w:bCs/>
                <w:iCs/>
              </w:rPr>
              <w:t>{</w:t>
            </w:r>
            <w:proofErr w:type="gramEnd"/>
            <w:r w:rsidRPr="009076AC">
              <w:rPr>
                <w:rFonts w:eastAsia="DengXian"/>
                <w:bCs/>
                <w:iCs/>
              </w:rPr>
              <w:t>336, 337, 338, …, 671}</w:t>
            </w:r>
          </w:p>
          <w:p w14:paraId="295E4B62" w14:textId="77777777" w:rsidR="001A3367" w:rsidRPr="009076AC" w:rsidRDefault="001A3367" w:rsidP="001A3367">
            <w:pPr>
              <w:pStyle w:val="ListParagraph"/>
              <w:numPr>
                <w:ilvl w:val="0"/>
                <w:numId w:val="17"/>
              </w:numPr>
              <w:spacing w:beforeLines="50" w:before="120" w:afterLines="50" w:after="120"/>
              <w:contextualSpacing w:val="0"/>
              <w:rPr>
                <w:rFonts w:eastAsia="DengXian"/>
                <w:bCs/>
                <w:iCs/>
                <w:lang w:eastAsia="zh-CN"/>
              </w:rPr>
            </w:pPr>
            <w:r w:rsidRPr="009076AC">
              <w:rPr>
                <w:rFonts w:eastAsia="DengXian"/>
                <w:bCs/>
                <w:iCs/>
                <w:lang w:eastAsia="zh-CN"/>
              </w:rPr>
              <w:t>The usage of 0 is the same as 0 as in LTE</w:t>
            </w:r>
          </w:p>
          <w:p w14:paraId="217EBEDA" w14:textId="77777777" w:rsidR="001A3367" w:rsidRPr="009076AC" w:rsidRDefault="001A3367" w:rsidP="001A3367">
            <w:pPr>
              <w:pStyle w:val="ListParagraph"/>
              <w:numPr>
                <w:ilvl w:val="0"/>
                <w:numId w:val="17"/>
              </w:numPr>
              <w:spacing w:beforeLines="50" w:before="120" w:afterLines="50" w:after="120"/>
              <w:contextualSpacing w:val="0"/>
              <w:rPr>
                <w:rFonts w:eastAsia="DengXian"/>
                <w:bCs/>
                <w:iCs/>
                <w:lang w:eastAsia="zh-CN"/>
              </w:rPr>
            </w:pPr>
            <w:r w:rsidRPr="009076AC">
              <w:rPr>
                <w:rFonts w:eastAsia="DengXian"/>
                <w:bCs/>
                <w:iCs/>
              </w:rPr>
              <w:t>The usage of 336 is the same as 168 as in LTE</w:t>
            </w:r>
          </w:p>
          <w:p w14:paraId="166C7947" w14:textId="77777777" w:rsidR="001A3367" w:rsidRPr="00105D75" w:rsidRDefault="001A3367" w:rsidP="001A3367">
            <w:pPr>
              <w:pStyle w:val="ListParagraph"/>
              <w:numPr>
                <w:ilvl w:val="0"/>
                <w:numId w:val="17"/>
              </w:numPr>
              <w:spacing w:beforeLines="50" w:before="120" w:afterLines="50" w:after="120"/>
              <w:contextualSpacing w:val="0"/>
              <w:rPr>
                <w:rFonts w:eastAsia="DengXian"/>
                <w:bCs/>
                <w:iCs/>
                <w:lang w:eastAsia="zh-CN"/>
              </w:rPr>
            </w:pPr>
            <w:r w:rsidRPr="009076AC">
              <w:rPr>
                <w:rFonts w:eastAsia="DengXian"/>
                <w:bCs/>
                <w:iCs/>
              </w:rPr>
              <w:t>The usage of 337 is the same as 169 as in LTE</w:t>
            </w:r>
          </w:p>
        </w:tc>
      </w:tr>
    </w:tbl>
    <w:p w14:paraId="653A53DA" w14:textId="77777777" w:rsidR="001A3367" w:rsidRDefault="001A3367" w:rsidP="001A3367">
      <w:pPr>
        <w:jc w:val="both"/>
      </w:pPr>
    </w:p>
    <w:p w14:paraId="09AFBAB9" w14:textId="77777777" w:rsidR="001A3367" w:rsidRDefault="001A3367" w:rsidP="001A3367">
      <w:pPr>
        <w:jc w:val="both"/>
      </w:pPr>
      <w:r w:rsidRPr="001A3367">
        <w:rPr>
          <w:b/>
        </w:rPr>
        <w:t>Proposal 2c</w:t>
      </w:r>
      <w:r>
        <w:t>: PSBCH does not indicate type of sync source.</w:t>
      </w:r>
    </w:p>
    <w:p w14:paraId="359B0D98" w14:textId="2CDE76E1" w:rsidR="001A3367" w:rsidRDefault="001A3367" w:rsidP="001A3367">
      <w:pPr>
        <w:pStyle w:val="ListParagraph"/>
        <w:numPr>
          <w:ilvl w:val="0"/>
          <w:numId w:val="16"/>
        </w:numPr>
        <w:ind w:left="360"/>
        <w:jc w:val="both"/>
      </w:pPr>
      <w:r>
        <w:t>Slot index within a frame</w:t>
      </w:r>
    </w:p>
    <w:p w14:paraId="6D835DE4" w14:textId="7B6CFAD0" w:rsidR="009079D8" w:rsidRDefault="009079D8" w:rsidP="009079D8">
      <w:pPr>
        <w:jc w:val="both"/>
      </w:pPr>
      <w:proofErr w:type="gramStart"/>
      <w:r>
        <w:t>Similar to</w:t>
      </w:r>
      <w:proofErr w:type="gramEnd"/>
      <w:r>
        <w:t xml:space="preserve"> LTE V2X subframe </w:t>
      </w:r>
      <w:r w:rsidR="00C52CDB">
        <w:t>index</w:t>
      </w:r>
      <w:r>
        <w:t xml:space="preserve"> indication, the slot index can be carried in NR PSBCH; a UE detecting S-SSB can immediately </w:t>
      </w:r>
      <w:r w:rsidR="00371FF5">
        <w:t>determine frame boundary based on the decoded PSBCH</w:t>
      </w:r>
      <w:r>
        <w:t xml:space="preserve">. </w:t>
      </w:r>
    </w:p>
    <w:p w14:paraId="48FB641F" w14:textId="30C42192" w:rsidR="009079D8" w:rsidRDefault="009079D8" w:rsidP="009079D8">
      <w:pPr>
        <w:jc w:val="both"/>
      </w:pPr>
      <w:r w:rsidRPr="00371FF5">
        <w:rPr>
          <w:b/>
        </w:rPr>
        <w:t>Proposal 2d</w:t>
      </w:r>
      <w:r>
        <w:t>: Slot index is carried in PSBCH.</w:t>
      </w:r>
    </w:p>
    <w:p w14:paraId="6F48A2BF" w14:textId="39AE9E89" w:rsidR="009079D8" w:rsidRDefault="009079D8" w:rsidP="00371FF5">
      <w:pPr>
        <w:pStyle w:val="ListParagraph"/>
        <w:numPr>
          <w:ilvl w:val="0"/>
          <w:numId w:val="16"/>
        </w:numPr>
        <w:ind w:left="360"/>
        <w:jc w:val="both"/>
      </w:pPr>
      <w:r>
        <w:t>S-SSB index</w:t>
      </w:r>
    </w:p>
    <w:p w14:paraId="7B04C309" w14:textId="2F6546EB" w:rsidR="009079D8" w:rsidRDefault="00371FF5" w:rsidP="009079D8">
      <w:pPr>
        <w:jc w:val="both"/>
      </w:pPr>
      <w:r>
        <w:lastRenderedPageBreak/>
        <w:t xml:space="preserve">RAN1 agreed that multiple S-SSB transmission within a S-SSB period is supported. For a UE detecting S-SSB, it may be beneficial that it knows the index of the detected S-SSB, especially for FR2. Therefore, we propose that </w:t>
      </w:r>
      <w:proofErr w:type="gramStart"/>
      <w:r>
        <w:t>similar to</w:t>
      </w:r>
      <w:proofErr w:type="gramEnd"/>
      <w:r>
        <w:t xml:space="preserve"> NR Uu, S-SSB index is also carried in PSBCH. </w:t>
      </w:r>
    </w:p>
    <w:p w14:paraId="02DB0786" w14:textId="61BCDAA1" w:rsidR="001A3367" w:rsidRDefault="001A3367" w:rsidP="001A3367">
      <w:pPr>
        <w:jc w:val="both"/>
      </w:pPr>
      <w:r w:rsidRPr="001A3367">
        <w:rPr>
          <w:b/>
        </w:rPr>
        <w:t>Proposal 2</w:t>
      </w:r>
      <w:r w:rsidR="00371FF5">
        <w:rPr>
          <w:b/>
        </w:rPr>
        <w:t>e</w:t>
      </w:r>
      <w:r>
        <w:t>: PSBCH carries S-SSB index.</w:t>
      </w:r>
    </w:p>
    <w:p w14:paraId="251C474E" w14:textId="345561C1" w:rsidR="00926C2A" w:rsidRDefault="00926C2A" w:rsidP="001A3367">
      <w:pPr>
        <w:jc w:val="both"/>
      </w:pPr>
      <w:r>
        <w:t xml:space="preserve">Based on the agreement and the discussions, we can determine the NR PSBCH payload. For DFN (10 bits), </w:t>
      </w:r>
      <w:r w:rsidR="00C44F5F">
        <w:t>in-coverage indicator (1 bit), slot index (up to 8 bits), S-SSB index (up to 6 bits), up to 25 bits are needed. We can still have 7 bits for TDD configuration, and potential future use.</w:t>
      </w:r>
    </w:p>
    <w:p w14:paraId="27BC455F" w14:textId="77777777" w:rsidR="001A3367" w:rsidRPr="001A3367" w:rsidRDefault="001A3367" w:rsidP="001A3367">
      <w:pPr>
        <w:pStyle w:val="Heading2"/>
        <w:numPr>
          <w:ilvl w:val="1"/>
          <w:numId w:val="1"/>
        </w:numPr>
        <w:spacing w:before="240" w:after="180"/>
        <w:rPr>
          <w:rFonts w:ascii="Times New Roman" w:hAnsi="Times New Roman" w:cs="Times New Roman"/>
          <w:color w:val="auto"/>
          <w:sz w:val="28"/>
        </w:rPr>
      </w:pPr>
      <w:r w:rsidRPr="001A3367">
        <w:rPr>
          <w:rFonts w:ascii="Times New Roman" w:hAnsi="Times New Roman" w:cs="Times New Roman"/>
          <w:color w:val="auto"/>
        </w:rPr>
        <w:t>PSBCH DMRS remaining issues</w:t>
      </w:r>
      <w:r w:rsidRPr="001A3367">
        <w:rPr>
          <w:rFonts w:ascii="Times New Roman" w:hAnsi="Times New Roman" w:cs="Times New Roman"/>
          <w:color w:val="auto"/>
          <w:sz w:val="28"/>
        </w:rPr>
        <w:t xml:space="preserve"> </w:t>
      </w:r>
    </w:p>
    <w:p w14:paraId="7CBE0EFF" w14:textId="77777777" w:rsidR="001A3367" w:rsidRDefault="001A3367" w:rsidP="001A3367">
      <w:pPr>
        <w:jc w:val="both"/>
      </w:pPr>
      <w:r>
        <w:t xml:space="preserve">The following proposals were agreed in email discussion following </w:t>
      </w:r>
      <w:r w:rsidR="00040842">
        <w:t>RAN1#</w:t>
      </w:r>
      <w:r>
        <w:t>98bis meeting.</w:t>
      </w:r>
    </w:p>
    <w:tbl>
      <w:tblPr>
        <w:tblStyle w:val="TableGrid"/>
        <w:tblW w:w="0" w:type="auto"/>
        <w:tblLook w:val="04A0" w:firstRow="1" w:lastRow="0" w:firstColumn="1" w:lastColumn="0" w:noHBand="0" w:noVBand="1"/>
      </w:tblPr>
      <w:tblGrid>
        <w:gridCol w:w="9350"/>
      </w:tblGrid>
      <w:tr w:rsidR="001A3367" w14:paraId="6E0FF90B" w14:textId="77777777" w:rsidTr="00105D75">
        <w:tc>
          <w:tcPr>
            <w:tcW w:w="9350" w:type="dxa"/>
          </w:tcPr>
          <w:p w14:paraId="22525A67" w14:textId="77777777" w:rsidR="001A3367" w:rsidRDefault="001A3367" w:rsidP="00105D75">
            <w:pPr>
              <w:rPr>
                <w:rFonts w:eastAsiaTheme="minorHAnsi"/>
              </w:rPr>
            </w:pPr>
            <w:r>
              <w:t>Proposals:</w:t>
            </w:r>
          </w:p>
          <w:p w14:paraId="4C62EE5E" w14:textId="77777777" w:rsidR="001A3367" w:rsidRDefault="001A3367" w:rsidP="00105D75">
            <w:pPr>
              <w:pStyle w:val="ListParagraph"/>
              <w:ind w:left="420" w:hanging="420"/>
            </w:pPr>
            <w:r>
              <w:rPr>
                <w:rFonts w:ascii="Symbol" w:hAnsi="Symbol"/>
              </w:rPr>
              <w:t></w:t>
            </w:r>
            <w:r>
              <w:t>           PSBCH DM-RS design uses NR Uu PBCH DM-RS design</w:t>
            </w:r>
            <w:r>
              <w:rPr>
                <w:lang w:eastAsia="zh-CN"/>
              </w:rPr>
              <w:t xml:space="preserve"> as the starting point</w:t>
            </w:r>
          </w:p>
          <w:p w14:paraId="0A5F7AE5" w14:textId="77777777" w:rsidR="001A3367" w:rsidRDefault="001A3367" w:rsidP="00105D75">
            <w:pPr>
              <w:pStyle w:val="ListParagraph"/>
              <w:spacing w:afterLines="50" w:after="120"/>
              <w:ind w:left="780" w:hanging="360"/>
              <w:rPr>
                <w:lang w:eastAsia="zh-CN"/>
              </w:rPr>
            </w:pPr>
            <w:r>
              <w:rPr>
                <w:rFonts w:ascii="Courier New" w:hAnsi="Courier New" w:cs="Courier New"/>
                <w:lang w:eastAsia="zh-CN"/>
              </w:rPr>
              <w:t>o</w:t>
            </w:r>
            <w:r>
              <w:rPr>
                <w:lang w:eastAsia="zh-CN"/>
              </w:rPr>
              <w:t xml:space="preserve">   </w:t>
            </w:r>
            <w:r>
              <w:t>DM-RS RE mapping</w:t>
            </w:r>
          </w:p>
          <w:p w14:paraId="0BFA6881" w14:textId="77777777" w:rsidR="001A3367" w:rsidRDefault="001A3367" w:rsidP="00105D75">
            <w:pPr>
              <w:pStyle w:val="ListParagraph"/>
              <w:spacing w:afterLines="50" w:after="120"/>
              <w:ind w:left="1200" w:hanging="420"/>
              <w:rPr>
                <w:lang w:eastAsia="zh-CN"/>
              </w:rPr>
            </w:pPr>
            <w:r>
              <w:rPr>
                <w:rFonts w:ascii="Arial" w:hAnsi="Arial" w:cs="Arial"/>
                <w:lang w:eastAsia="zh-CN"/>
              </w:rPr>
              <w:t>–</w:t>
            </w:r>
            <w:r>
              <w:rPr>
                <w:lang w:eastAsia="zh-CN"/>
              </w:rPr>
              <w:t>       Equal DM-RS density across NR-PBCH with 3 REs/PRB/symbol</w:t>
            </w:r>
            <w:r>
              <w:t xml:space="preserve"> (i.e., comb-4 type)</w:t>
            </w:r>
          </w:p>
          <w:p w14:paraId="2087D104" w14:textId="77777777" w:rsidR="001A3367" w:rsidRDefault="001A3367" w:rsidP="00105D75">
            <w:pPr>
              <w:pStyle w:val="ListParagraph"/>
              <w:spacing w:afterLines="50" w:after="120"/>
              <w:ind w:left="780" w:hanging="360"/>
              <w:rPr>
                <w:lang w:eastAsia="zh-CN"/>
              </w:rPr>
            </w:pPr>
            <w:r>
              <w:rPr>
                <w:rFonts w:ascii="Courier New" w:hAnsi="Courier New" w:cs="Courier New"/>
                <w:lang w:eastAsia="zh-CN"/>
              </w:rPr>
              <w:t>o</w:t>
            </w:r>
            <w:r>
              <w:rPr>
                <w:lang w:eastAsia="zh-CN"/>
              </w:rPr>
              <w:t>   Same DM-RS sequence generation with NR Uu PBCH</w:t>
            </w:r>
          </w:p>
          <w:p w14:paraId="156A4A1E" w14:textId="77777777" w:rsidR="001A3367" w:rsidRDefault="001A3367" w:rsidP="00105D75">
            <w:pPr>
              <w:pStyle w:val="ListParagraph"/>
              <w:spacing w:afterLines="50" w:after="120"/>
              <w:ind w:left="1200" w:hanging="420"/>
              <w:rPr>
                <w:lang w:eastAsia="zh-CN"/>
              </w:rPr>
            </w:pPr>
            <w:r>
              <w:rPr>
                <w:rFonts w:ascii="Arial" w:hAnsi="Arial" w:cs="Arial"/>
                <w:lang w:eastAsia="zh-CN"/>
              </w:rPr>
              <w:t>–</w:t>
            </w:r>
            <w:r>
              <w:rPr>
                <w:lang w:eastAsia="zh-CN"/>
              </w:rPr>
              <w:t>       length-31 Gold sequence with QPSK modulation</w:t>
            </w:r>
          </w:p>
          <w:p w14:paraId="29AA1533" w14:textId="77777777" w:rsidR="001A3367" w:rsidRDefault="001A3367" w:rsidP="00105D75">
            <w:pPr>
              <w:pStyle w:val="ListParagraph"/>
              <w:spacing w:afterLines="50" w:after="120"/>
              <w:ind w:left="780" w:hanging="360"/>
              <w:rPr>
                <w:lang w:eastAsia="zh-CN"/>
              </w:rPr>
            </w:pPr>
            <w:r>
              <w:rPr>
                <w:rFonts w:ascii="Courier New" w:hAnsi="Courier New" w:cs="Courier New"/>
                <w:lang w:eastAsia="zh-CN"/>
              </w:rPr>
              <w:t>o</w:t>
            </w:r>
            <w:r>
              <w:rPr>
                <w:lang w:eastAsia="zh-CN"/>
              </w:rPr>
              <w:t xml:space="preserve">   </w:t>
            </w:r>
            <w:r>
              <w:t>FFS</w:t>
            </w:r>
            <w:r>
              <w:rPr>
                <w:lang w:eastAsia="zh-CN"/>
              </w:rPr>
              <w:t xml:space="preserve"> </w:t>
            </w:r>
            <w:r>
              <w:t>DM-RS RE position shift in frequency domain</w:t>
            </w:r>
          </w:p>
          <w:p w14:paraId="7CFC171F" w14:textId="77777777" w:rsidR="001A3367" w:rsidRDefault="001A3367" w:rsidP="00105D75">
            <w:pPr>
              <w:pStyle w:val="ListParagraph"/>
              <w:spacing w:afterLines="50" w:after="120"/>
              <w:ind w:left="780" w:hanging="360"/>
              <w:rPr>
                <w:lang w:eastAsia="x-none"/>
              </w:rPr>
            </w:pPr>
            <w:r>
              <w:rPr>
                <w:rFonts w:ascii="Courier New" w:hAnsi="Courier New" w:cs="Courier New"/>
              </w:rPr>
              <w:t>o</w:t>
            </w:r>
            <w:r>
              <w:t xml:space="preserve">   </w:t>
            </w:r>
            <w:r>
              <w:rPr>
                <w:lang w:eastAsia="zh-CN"/>
              </w:rPr>
              <w:t xml:space="preserve">FFS the number of </w:t>
            </w:r>
            <w:r>
              <w:t>PSBCH symbol</w:t>
            </w:r>
            <w:r>
              <w:rPr>
                <w:lang w:eastAsia="zh-CN"/>
              </w:rPr>
              <w:t>s that</w:t>
            </w:r>
            <w:r>
              <w:t xml:space="preserve"> </w:t>
            </w:r>
            <w:r>
              <w:rPr>
                <w:lang w:eastAsia="zh-CN"/>
              </w:rPr>
              <w:t>contain</w:t>
            </w:r>
            <w:r>
              <w:t xml:space="preserve"> DM-RS</w:t>
            </w:r>
          </w:p>
        </w:tc>
      </w:tr>
    </w:tbl>
    <w:p w14:paraId="75D213B4" w14:textId="77777777" w:rsidR="001A3367" w:rsidRDefault="001A3367" w:rsidP="001A3367">
      <w:pPr>
        <w:jc w:val="both"/>
      </w:pPr>
    </w:p>
    <w:p w14:paraId="174AD236" w14:textId="77777777" w:rsidR="001A3367" w:rsidRDefault="001A3367" w:rsidP="001A3367">
      <w:pPr>
        <w:jc w:val="both"/>
      </w:pPr>
      <w:r>
        <w:t>For PSBCH DMRS sequence generation, one remaining issue is the sequence generator initialization. Since NR</w:t>
      </w:r>
      <w:r w:rsidRPr="003B3178">
        <w:t xml:space="preserve"> </w:t>
      </w:r>
      <w:r>
        <w:t xml:space="preserve">PSBCH transmission will reuse LTE PSBCH transmission mechanism, hop-0 S-SSB transmission and hop-2 S-SSB transmission will occur in the same resource. </w:t>
      </w:r>
      <w:proofErr w:type="gramStart"/>
      <w:r>
        <w:t>Similar to</w:t>
      </w:r>
      <w:proofErr w:type="gramEnd"/>
      <w:r>
        <w:t xml:space="preserve"> LTE V2X, the two S-SSB transmissions in NR V2X also need to be orthogonal. Specifically, the DMRS sequence for PSBCH on the two hops should be the same, while different cyclic shift can be applied to the DMRS symbols.</w:t>
      </w:r>
    </w:p>
    <w:p w14:paraId="2C6F11CC" w14:textId="77777777" w:rsidR="001A3367" w:rsidRDefault="001A3367" w:rsidP="001A3367">
      <w:pPr>
        <w:jc w:val="both"/>
      </w:pPr>
      <w:r w:rsidRPr="001A3367">
        <w:rPr>
          <w:b/>
        </w:rPr>
        <w:t>Proposal 3a</w:t>
      </w:r>
      <w:r>
        <w:t>: For hop-0 and hop-2 PSBCH transmissions, the DMRS sequence shall be the same, but different cyclic shift is applied to the DMRS</w:t>
      </w:r>
      <w:r w:rsidR="00047958">
        <w:t xml:space="preserve"> symbols</w:t>
      </w:r>
      <w:r>
        <w:t>.</w:t>
      </w:r>
    </w:p>
    <w:p w14:paraId="3C0A9115" w14:textId="629D9E40" w:rsidR="001A3367" w:rsidRDefault="001A3367" w:rsidP="001A3367">
      <w:pPr>
        <w:jc w:val="both"/>
      </w:pPr>
      <w:r>
        <w:t>Another remaining issue is DMRS time density. For normal CP, there are 9 OFDM symbols available for a PSBCH transmission. If every OFDM symbol has DMRS, the coding rate would be 0.031</w:t>
      </w:r>
      <w:r w:rsidR="008E3F0F">
        <w:t xml:space="preserve"> for 56 bits PSBCH payload</w:t>
      </w:r>
      <w:r>
        <w:t>; if only part of the OFDM symbols have DMRS, e.g., every other symbol has DMRS, the coding rate would be 0.027. Given the already very low coding rate, there seems no necessary to optimize/reduce DMRS density. Therefore, we propose that every OFDM symbol of PSBCH has the comb-4 DMRS.</w:t>
      </w:r>
    </w:p>
    <w:p w14:paraId="7C6CA186" w14:textId="77777777" w:rsidR="001A3367" w:rsidRDefault="001A3367" w:rsidP="001A3367">
      <w:pPr>
        <w:jc w:val="both"/>
      </w:pPr>
      <w:r w:rsidRPr="001A3367">
        <w:rPr>
          <w:b/>
        </w:rPr>
        <w:t>Proposal 3b</w:t>
      </w:r>
      <w:r>
        <w:t xml:space="preserve">: </w:t>
      </w:r>
      <w:r w:rsidR="00040842">
        <w:t>DMRS is transmitted in e</w:t>
      </w:r>
      <w:r>
        <w:t>very PSBCH OFDM symbol.</w:t>
      </w:r>
    </w:p>
    <w:p w14:paraId="2A60199E" w14:textId="77777777" w:rsidR="001A3367" w:rsidRPr="00677958" w:rsidRDefault="001A3367" w:rsidP="001A3367">
      <w:pPr>
        <w:pStyle w:val="Heading1"/>
        <w:numPr>
          <w:ilvl w:val="0"/>
          <w:numId w:val="1"/>
        </w:numPr>
        <w:jc w:val="both"/>
        <w:rPr>
          <w:rFonts w:cs="Arial"/>
          <w:lang w:eastAsia="zh-CN"/>
        </w:rPr>
      </w:pPr>
      <w:r>
        <w:rPr>
          <w:rFonts w:cs="Arial"/>
          <w:lang w:eastAsia="zh-CN"/>
        </w:rPr>
        <w:t>Conclusion</w:t>
      </w:r>
    </w:p>
    <w:p w14:paraId="43C393D8" w14:textId="77777777" w:rsidR="001A3367" w:rsidRDefault="001A3367" w:rsidP="001A3367">
      <w:pPr>
        <w:jc w:val="both"/>
      </w:pPr>
      <w:r>
        <w:t xml:space="preserve">In this contribution, we propose the following aspects for NR V2X synchronization </w:t>
      </w:r>
      <w:r w:rsidR="00A67695">
        <w:t>design.</w:t>
      </w:r>
    </w:p>
    <w:p w14:paraId="410BB051" w14:textId="77777777" w:rsidR="00040842" w:rsidRPr="004D3239" w:rsidRDefault="00040842" w:rsidP="00040842">
      <w:pPr>
        <w:jc w:val="both"/>
      </w:pPr>
      <w:r w:rsidRPr="00963CAF">
        <w:rPr>
          <w:b/>
        </w:rPr>
        <w:t>Proposal 1</w:t>
      </w:r>
      <w:r>
        <w:rPr>
          <w:b/>
        </w:rPr>
        <w:t>a</w:t>
      </w:r>
      <w:r w:rsidRPr="00963CAF">
        <w:rPr>
          <w:b/>
        </w:rPr>
        <w:t>:</w:t>
      </w:r>
      <w:r w:rsidRPr="004D3239">
        <w:t xml:space="preserve">  </w:t>
      </w:r>
      <w:r>
        <w:t xml:space="preserve">NR </w:t>
      </w:r>
      <w:r w:rsidRPr="004D3239">
        <w:t xml:space="preserve">S-PSS uses the same polynomial </w:t>
      </w:r>
      <w:r>
        <w:t xml:space="preserve">as NR PSS </w:t>
      </w:r>
      <w:r w:rsidRPr="004D3239">
        <w:t xml:space="preserve">(i.e., x7+x4+1) and the same initial value, but </w:t>
      </w:r>
      <w:r>
        <w:t xml:space="preserve">uses </w:t>
      </w:r>
      <w:r w:rsidRPr="004D3239">
        <w:t xml:space="preserve">cyclic shifts </w:t>
      </w:r>
      <w:r>
        <w:t xml:space="preserve">{21, 64} (that differ from </w:t>
      </w:r>
      <w:r w:rsidRPr="004D3239">
        <w:t xml:space="preserve">NR </w:t>
      </w:r>
      <w:r>
        <w:t xml:space="preserve">Uu </w:t>
      </w:r>
      <w:r w:rsidRPr="004D3239">
        <w:t>PSS</w:t>
      </w:r>
      <w:r>
        <w:t>).</w:t>
      </w:r>
    </w:p>
    <w:p w14:paraId="7877EE03" w14:textId="77777777" w:rsidR="00040842" w:rsidRDefault="00040842" w:rsidP="00040842">
      <w:pPr>
        <w:jc w:val="both"/>
      </w:pPr>
      <w:r w:rsidRPr="00963CAF">
        <w:rPr>
          <w:b/>
        </w:rPr>
        <w:t xml:space="preserve">Proposal </w:t>
      </w:r>
      <w:r>
        <w:rPr>
          <w:b/>
        </w:rPr>
        <w:t>1b</w:t>
      </w:r>
      <w:r w:rsidRPr="00963CAF">
        <w:rPr>
          <w:b/>
        </w:rPr>
        <w:t>:</w:t>
      </w:r>
      <w:r w:rsidRPr="004D3239">
        <w:t xml:space="preserve">  </w:t>
      </w:r>
      <w:r w:rsidR="00165B9F">
        <w:t xml:space="preserve">NR </w:t>
      </w:r>
      <w:r w:rsidRPr="004D3239">
        <w:t>S-SSS reuses the sequence</w:t>
      </w:r>
      <w:r>
        <w:t xml:space="preserve"> generator for </w:t>
      </w:r>
      <w:r w:rsidRPr="004D3239">
        <w:t xml:space="preserve">NR </w:t>
      </w:r>
      <w:r>
        <w:t xml:space="preserve">Uu </w:t>
      </w:r>
      <w:r w:rsidRPr="004D3239">
        <w:t>SSS.</w:t>
      </w:r>
    </w:p>
    <w:p w14:paraId="2BF2DA15" w14:textId="77777777" w:rsidR="00040842" w:rsidRDefault="00040842" w:rsidP="00040842">
      <w:pPr>
        <w:jc w:val="both"/>
      </w:pPr>
      <w:r w:rsidRPr="00F32770">
        <w:rPr>
          <w:b/>
        </w:rPr>
        <w:t xml:space="preserve">Proposal </w:t>
      </w:r>
      <w:r>
        <w:rPr>
          <w:b/>
        </w:rPr>
        <w:t>2a</w:t>
      </w:r>
      <w:r>
        <w:t>: A set of TDD configurations and their associated parameters are (pre)configured</w:t>
      </w:r>
      <w:r w:rsidR="00ED5E40">
        <w:t>;</w:t>
      </w:r>
      <w:r>
        <w:t xml:space="preserve"> PSBCH carries index of a TDD configuration that is selected from the set.</w:t>
      </w:r>
    </w:p>
    <w:p w14:paraId="1EA52E2C" w14:textId="77777777" w:rsidR="00040842" w:rsidRDefault="00040842" w:rsidP="00040842">
      <w:pPr>
        <w:jc w:val="both"/>
      </w:pPr>
      <w:r w:rsidRPr="001A3367">
        <w:rPr>
          <w:b/>
        </w:rPr>
        <w:t>Proposal 2b</w:t>
      </w:r>
      <w:r>
        <w:t>: PSBCH does not carry SL BWP information.</w:t>
      </w:r>
    </w:p>
    <w:p w14:paraId="41E91FF5" w14:textId="1BCBEACB" w:rsidR="00040842" w:rsidRDefault="00040842" w:rsidP="00040842">
      <w:pPr>
        <w:jc w:val="both"/>
      </w:pPr>
      <w:r w:rsidRPr="001A3367">
        <w:rPr>
          <w:b/>
        </w:rPr>
        <w:t>Proposal 2c</w:t>
      </w:r>
      <w:r>
        <w:t>: PSBCH does not indicate type of sync source.</w:t>
      </w:r>
    </w:p>
    <w:p w14:paraId="56082FF0" w14:textId="77777777" w:rsidR="008E3F0F" w:rsidRDefault="008E3F0F" w:rsidP="008E3F0F">
      <w:pPr>
        <w:jc w:val="both"/>
      </w:pPr>
      <w:r w:rsidRPr="00371FF5">
        <w:rPr>
          <w:b/>
        </w:rPr>
        <w:lastRenderedPageBreak/>
        <w:t>Proposal 2d</w:t>
      </w:r>
      <w:r>
        <w:t>: Slot index is carried in PSBCH.</w:t>
      </w:r>
    </w:p>
    <w:p w14:paraId="277BC8E8" w14:textId="0072F727" w:rsidR="00040842" w:rsidRDefault="00040842" w:rsidP="00040842">
      <w:pPr>
        <w:jc w:val="both"/>
      </w:pPr>
      <w:r w:rsidRPr="001A3367">
        <w:rPr>
          <w:b/>
        </w:rPr>
        <w:t>Proposal 2</w:t>
      </w:r>
      <w:r w:rsidR="008E3F0F">
        <w:rPr>
          <w:b/>
        </w:rPr>
        <w:t>e</w:t>
      </w:r>
      <w:r>
        <w:t>: PSBCH carries S-SSB index.</w:t>
      </w:r>
    </w:p>
    <w:p w14:paraId="52D72A05" w14:textId="77777777" w:rsidR="00040842" w:rsidRDefault="00040842" w:rsidP="00040842">
      <w:pPr>
        <w:jc w:val="both"/>
      </w:pPr>
      <w:r w:rsidRPr="001A3367">
        <w:rPr>
          <w:b/>
        </w:rPr>
        <w:t>Proposal 3a</w:t>
      </w:r>
      <w:r>
        <w:t>: For hop-0 and hop-2 PSBCH transmissions, the DMRS sequence shall be the same, but different cyclic shift is applied to the DMRS</w:t>
      </w:r>
      <w:r w:rsidR="00ED5E40">
        <w:t xml:space="preserve"> symbols</w:t>
      </w:r>
      <w:r>
        <w:t>.</w:t>
      </w:r>
    </w:p>
    <w:p w14:paraId="2373F56F" w14:textId="77777777" w:rsidR="00040842" w:rsidRDefault="00040842" w:rsidP="00040842">
      <w:pPr>
        <w:jc w:val="both"/>
      </w:pPr>
      <w:r w:rsidRPr="001A3367">
        <w:rPr>
          <w:b/>
        </w:rPr>
        <w:t>Proposal 3b</w:t>
      </w:r>
      <w:r>
        <w:t>: DMRS is transmitted in every PSBCH OFDM symbol.</w:t>
      </w:r>
    </w:p>
    <w:p w14:paraId="0DED562C" w14:textId="77777777" w:rsidR="001A3367" w:rsidRDefault="001A3367" w:rsidP="001A3367">
      <w:pPr>
        <w:pStyle w:val="Heading1"/>
        <w:jc w:val="both"/>
      </w:pPr>
      <w:r>
        <w:t>References</w:t>
      </w:r>
    </w:p>
    <w:p w14:paraId="650F8BA2" w14:textId="4C580BE0" w:rsidR="001A3367" w:rsidRPr="002A279D" w:rsidRDefault="002A279D" w:rsidP="001A3367">
      <w:pPr>
        <w:pStyle w:val="Reference"/>
        <w:numPr>
          <w:ilvl w:val="0"/>
          <w:numId w:val="13"/>
        </w:numPr>
        <w:overflowPunct/>
        <w:autoSpaceDE/>
        <w:autoSpaceDN/>
        <w:adjustRightInd/>
        <w:spacing w:before="120" w:after="0" w:line="280" w:lineRule="atLeast"/>
        <w:textAlignment w:val="auto"/>
        <w:rPr>
          <w:bCs/>
          <w:kern w:val="2"/>
          <w:sz w:val="20"/>
        </w:rPr>
      </w:pPr>
      <w:r>
        <w:rPr>
          <w:bCs/>
          <w:kern w:val="2"/>
          <w:sz w:val="20"/>
        </w:rPr>
        <w:t xml:space="preserve">R1-1912947, </w:t>
      </w:r>
      <w:r w:rsidR="001102DD">
        <w:rPr>
          <w:bCs/>
          <w:kern w:val="2"/>
          <w:sz w:val="20"/>
        </w:rPr>
        <w:t>“</w:t>
      </w:r>
      <w:r w:rsidRPr="002A279D">
        <w:rPr>
          <w:bCs/>
          <w:kern w:val="2"/>
          <w:sz w:val="20"/>
        </w:rPr>
        <w:t>Synchronization mechanism enhanc</w:t>
      </w:r>
      <w:r>
        <w:rPr>
          <w:bCs/>
          <w:kern w:val="2"/>
          <w:sz w:val="20"/>
        </w:rPr>
        <w:t>e</w:t>
      </w:r>
      <w:r w:rsidRPr="002A279D">
        <w:rPr>
          <w:bCs/>
          <w:kern w:val="2"/>
          <w:sz w:val="20"/>
        </w:rPr>
        <w:t>ment for cluster merge</w:t>
      </w:r>
      <w:r w:rsidR="001102DD">
        <w:rPr>
          <w:bCs/>
          <w:kern w:val="2"/>
          <w:sz w:val="20"/>
        </w:rPr>
        <w:t xml:space="preserve">,” </w:t>
      </w:r>
      <w:r>
        <w:rPr>
          <w:bCs/>
          <w:kern w:val="2"/>
          <w:sz w:val="20"/>
        </w:rPr>
        <w:t xml:space="preserve">Qualcomm, </w:t>
      </w:r>
      <w:r w:rsidR="001A3367">
        <w:rPr>
          <w:bCs/>
          <w:kern w:val="2"/>
          <w:sz w:val="20"/>
        </w:rPr>
        <w:t>RAN1 #9</w:t>
      </w:r>
      <w:r w:rsidR="00A67695">
        <w:rPr>
          <w:bCs/>
          <w:kern w:val="2"/>
          <w:sz w:val="20"/>
        </w:rPr>
        <w:t>9</w:t>
      </w:r>
      <w:r w:rsidR="001A3367">
        <w:rPr>
          <w:bCs/>
          <w:kern w:val="2"/>
          <w:sz w:val="20"/>
        </w:rPr>
        <w:t xml:space="preserve">, </w:t>
      </w:r>
      <w:r w:rsidR="00EB4E8B">
        <w:rPr>
          <w:bCs/>
          <w:kern w:val="2"/>
          <w:sz w:val="20"/>
        </w:rPr>
        <w:t>Nov.</w:t>
      </w:r>
      <w:r w:rsidR="001A3367">
        <w:rPr>
          <w:bCs/>
          <w:kern w:val="2"/>
          <w:sz w:val="20"/>
        </w:rPr>
        <w:t xml:space="preserve"> 2019.</w:t>
      </w:r>
    </w:p>
    <w:p w14:paraId="206CA1CA" w14:textId="3A33BC95" w:rsidR="001A3367" w:rsidRPr="00F06440" w:rsidRDefault="001A3367" w:rsidP="001A3367">
      <w:pPr>
        <w:pStyle w:val="Reference"/>
        <w:numPr>
          <w:ilvl w:val="0"/>
          <w:numId w:val="13"/>
        </w:numPr>
        <w:overflowPunct/>
        <w:autoSpaceDE/>
        <w:autoSpaceDN/>
        <w:adjustRightInd/>
        <w:spacing w:before="120" w:after="0" w:line="280" w:lineRule="atLeast"/>
        <w:textAlignment w:val="auto"/>
        <w:rPr>
          <w:bCs/>
          <w:kern w:val="2"/>
        </w:rPr>
      </w:pPr>
      <w:r>
        <w:rPr>
          <w:bCs/>
          <w:kern w:val="2"/>
          <w:sz w:val="20"/>
        </w:rPr>
        <w:t>RAN1 #98</w:t>
      </w:r>
      <w:r w:rsidR="00EB4E8B">
        <w:rPr>
          <w:bCs/>
          <w:kern w:val="2"/>
          <w:sz w:val="20"/>
        </w:rPr>
        <w:t>bis</w:t>
      </w:r>
      <w:r>
        <w:rPr>
          <w:bCs/>
          <w:kern w:val="2"/>
          <w:sz w:val="20"/>
        </w:rPr>
        <w:t>, Chairman’s Notes</w:t>
      </w:r>
      <w:r>
        <w:rPr>
          <w:bCs/>
          <w:kern w:val="2"/>
        </w:rPr>
        <w:t xml:space="preserve">, </w:t>
      </w:r>
      <w:r w:rsidR="00EB4E8B">
        <w:rPr>
          <w:bCs/>
          <w:kern w:val="2"/>
        </w:rPr>
        <w:t>Oct</w:t>
      </w:r>
      <w:r>
        <w:rPr>
          <w:bCs/>
          <w:kern w:val="2"/>
        </w:rPr>
        <w:t>. 2019.</w:t>
      </w:r>
      <w:r w:rsidR="001468F7">
        <w:rPr>
          <w:bCs/>
          <w:kern w:val="2"/>
        </w:rPr>
        <w:t xml:space="preserve"> </w:t>
      </w:r>
      <w:bookmarkStart w:id="3" w:name="_GoBack"/>
      <w:bookmarkEnd w:id="3"/>
    </w:p>
    <w:bookmarkEnd w:id="1"/>
    <w:p w14:paraId="0287975B" w14:textId="77777777" w:rsidR="00AA7766" w:rsidRDefault="001468F7"/>
    <w:sectPr w:rsidR="00AA77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A8A89" w14:textId="77777777" w:rsidR="00C55F57" w:rsidRDefault="00C55F57" w:rsidP="00963527">
      <w:pPr>
        <w:spacing w:after="0"/>
      </w:pPr>
      <w:r>
        <w:separator/>
      </w:r>
    </w:p>
  </w:endnote>
  <w:endnote w:type="continuationSeparator" w:id="0">
    <w:p w14:paraId="1121918C" w14:textId="77777777" w:rsidR="00C55F57" w:rsidRDefault="00C55F57" w:rsidP="009635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630C9" w14:textId="77777777" w:rsidR="00C55F57" w:rsidRDefault="00C55F57" w:rsidP="00963527">
      <w:pPr>
        <w:spacing w:after="0"/>
      </w:pPr>
      <w:r>
        <w:separator/>
      </w:r>
    </w:p>
  </w:footnote>
  <w:footnote w:type="continuationSeparator" w:id="0">
    <w:p w14:paraId="1C4A67BD" w14:textId="77777777" w:rsidR="00C55F57" w:rsidRDefault="00C55F57" w:rsidP="009635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4AB"/>
    <w:multiLevelType w:val="hybridMultilevel"/>
    <w:tmpl w:val="E88AA498"/>
    <w:lvl w:ilvl="0" w:tplc="276A93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182AB4"/>
    <w:multiLevelType w:val="hybridMultilevel"/>
    <w:tmpl w:val="C052AE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336E41"/>
    <w:multiLevelType w:val="hybridMultilevel"/>
    <w:tmpl w:val="EDF8D13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CB2F6C"/>
    <w:multiLevelType w:val="hybridMultilevel"/>
    <w:tmpl w:val="BA2A92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5F557846"/>
    <w:multiLevelType w:val="hybridMultilevel"/>
    <w:tmpl w:val="3C96B6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13"/>
  </w:num>
  <w:num w:numId="2">
    <w:abstractNumId w:val="14"/>
  </w:num>
  <w:num w:numId="3">
    <w:abstractNumId w:val="4"/>
  </w:num>
  <w:num w:numId="4">
    <w:abstractNumId w:val="1"/>
  </w:num>
  <w:num w:numId="5">
    <w:abstractNumId w:val="5"/>
  </w:num>
  <w:num w:numId="6">
    <w:abstractNumId w:val="10"/>
  </w:num>
  <w:num w:numId="7">
    <w:abstractNumId w:val="15"/>
  </w:num>
  <w:num w:numId="8">
    <w:abstractNumId w:val="11"/>
  </w:num>
  <w:num w:numId="9">
    <w:abstractNumId w:val="6"/>
  </w:num>
  <w:num w:numId="10">
    <w:abstractNumId w:val="0"/>
  </w:num>
  <w:num w:numId="11">
    <w:abstractNumId w:val="2"/>
  </w:num>
  <w:num w:numId="12">
    <w:abstractNumId w:val="7"/>
  </w:num>
  <w:num w:numId="13">
    <w:abstractNumId w:val="16"/>
  </w:num>
  <w:num w:numId="14">
    <w:abstractNumId w:val="8"/>
  </w:num>
  <w:num w:numId="15">
    <w:abstractNumId w:val="9"/>
  </w:num>
  <w:num w:numId="16">
    <w:abstractNumId w:val="12"/>
  </w:num>
  <w:num w:numId="17">
    <w:abstractNumId w:val="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527"/>
    <w:rsid w:val="00010654"/>
    <w:rsid w:val="00037938"/>
    <w:rsid w:val="00040842"/>
    <w:rsid w:val="00047958"/>
    <w:rsid w:val="00060BA6"/>
    <w:rsid w:val="00090A80"/>
    <w:rsid w:val="00102574"/>
    <w:rsid w:val="001102DD"/>
    <w:rsid w:val="001468F7"/>
    <w:rsid w:val="001551B7"/>
    <w:rsid w:val="00165B9F"/>
    <w:rsid w:val="001A3367"/>
    <w:rsid w:val="002315B7"/>
    <w:rsid w:val="00236143"/>
    <w:rsid w:val="0023627F"/>
    <w:rsid w:val="002A279D"/>
    <w:rsid w:val="002E595F"/>
    <w:rsid w:val="00315551"/>
    <w:rsid w:val="00345A33"/>
    <w:rsid w:val="00371FF5"/>
    <w:rsid w:val="003D3CA9"/>
    <w:rsid w:val="003D6428"/>
    <w:rsid w:val="004047D4"/>
    <w:rsid w:val="004061C6"/>
    <w:rsid w:val="00520013"/>
    <w:rsid w:val="005303D3"/>
    <w:rsid w:val="00562F17"/>
    <w:rsid w:val="00597A4E"/>
    <w:rsid w:val="005E77C2"/>
    <w:rsid w:val="005F4B95"/>
    <w:rsid w:val="0065078E"/>
    <w:rsid w:val="0067727A"/>
    <w:rsid w:val="00681597"/>
    <w:rsid w:val="006934FB"/>
    <w:rsid w:val="006E6AD0"/>
    <w:rsid w:val="006F4200"/>
    <w:rsid w:val="006F4A9C"/>
    <w:rsid w:val="00700859"/>
    <w:rsid w:val="00723543"/>
    <w:rsid w:val="00727AD8"/>
    <w:rsid w:val="00756420"/>
    <w:rsid w:val="0076148F"/>
    <w:rsid w:val="007C7016"/>
    <w:rsid w:val="0080129B"/>
    <w:rsid w:val="008E3F0F"/>
    <w:rsid w:val="009079D8"/>
    <w:rsid w:val="00926C2A"/>
    <w:rsid w:val="00963527"/>
    <w:rsid w:val="009D2896"/>
    <w:rsid w:val="00A67695"/>
    <w:rsid w:val="00A82473"/>
    <w:rsid w:val="00AC5481"/>
    <w:rsid w:val="00B711DF"/>
    <w:rsid w:val="00BC4B3E"/>
    <w:rsid w:val="00BD527A"/>
    <w:rsid w:val="00BE05BF"/>
    <w:rsid w:val="00C13A88"/>
    <w:rsid w:val="00C44F5F"/>
    <w:rsid w:val="00C52CDB"/>
    <w:rsid w:val="00C53EC3"/>
    <w:rsid w:val="00C55F57"/>
    <w:rsid w:val="00C73508"/>
    <w:rsid w:val="00C84CCD"/>
    <w:rsid w:val="00CB14A1"/>
    <w:rsid w:val="00D13178"/>
    <w:rsid w:val="00D7052B"/>
    <w:rsid w:val="00D72ABB"/>
    <w:rsid w:val="00D8110A"/>
    <w:rsid w:val="00D863DE"/>
    <w:rsid w:val="00DD6B9E"/>
    <w:rsid w:val="00DE19A1"/>
    <w:rsid w:val="00E0665B"/>
    <w:rsid w:val="00E360C7"/>
    <w:rsid w:val="00E77B64"/>
    <w:rsid w:val="00EA15A3"/>
    <w:rsid w:val="00EB4E8B"/>
    <w:rsid w:val="00ED272B"/>
    <w:rsid w:val="00ED5E40"/>
    <w:rsid w:val="00F12F54"/>
    <w:rsid w:val="00F15A05"/>
    <w:rsid w:val="00FD6D8E"/>
    <w:rsid w:val="00FF7D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C3F2E2A"/>
  <w15:chartTrackingRefBased/>
  <w15:docId w15:val="{F28A3DF5-7E3A-4B63-B501-8F213640C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3527"/>
    <w:pPr>
      <w:spacing w:after="180" w:line="240" w:lineRule="auto"/>
    </w:pPr>
    <w:rPr>
      <w:rFonts w:ascii="Times New Roman" w:eastAsia="SimSun" w:hAnsi="Times New Roman" w:cs="Times New Roman"/>
      <w:sz w:val="20"/>
      <w:szCs w:val="20"/>
    </w:rPr>
  </w:style>
  <w:style w:type="paragraph" w:styleId="Heading1">
    <w:name w:val="heading 1"/>
    <w:aliases w:val="H1,h1"/>
    <w:next w:val="Normal"/>
    <w:link w:val="Heading1Char"/>
    <w:qFormat/>
    <w:rsid w:val="00963527"/>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semiHidden/>
    <w:unhideWhenUsed/>
    <w:qFormat/>
    <w:rsid w:val="001A33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963527"/>
    <w:rPr>
      <w:rFonts w:ascii="Arial" w:eastAsia="MS Mincho" w:hAnsi="Arial" w:cs="Times New Roman"/>
      <w:sz w:val="32"/>
      <w:szCs w:val="20"/>
      <w:lang w:val="en-GB"/>
    </w:rPr>
  </w:style>
  <w:style w:type="table" w:styleId="TableGrid">
    <w:name w:val="Table Grid"/>
    <w:basedOn w:val="TableNormal"/>
    <w:rsid w:val="00963527"/>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63527"/>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963527"/>
    <w:rPr>
      <w:rFonts w:ascii="Times New Roman" w:eastAsia="SimSun" w:hAnsi="Times New Roman" w:cs="Times New Roman"/>
      <w:sz w:val="20"/>
      <w:szCs w:val="20"/>
      <w:lang w:val="en-GB"/>
    </w:rPr>
  </w:style>
  <w:style w:type="paragraph" w:styleId="Title">
    <w:name w:val="Title"/>
    <w:basedOn w:val="Normal"/>
    <w:link w:val="TitleChar"/>
    <w:qFormat/>
    <w:rsid w:val="00963527"/>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963527"/>
    <w:rPr>
      <w:rFonts w:ascii="Arial" w:eastAsia="MS Mincho" w:hAnsi="Arial" w:cs="Times New Roman"/>
      <w:b/>
      <w:sz w:val="24"/>
      <w:szCs w:val="20"/>
      <w:lang w:val="de-DE"/>
    </w:rPr>
  </w:style>
  <w:style w:type="paragraph" w:customStyle="1" w:styleId="LGTdoc">
    <w:name w:val="LGTdoc_본문"/>
    <w:basedOn w:val="Normal"/>
    <w:link w:val="LGTdocChar"/>
    <w:qFormat/>
    <w:rsid w:val="0096352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3527"/>
    <w:rPr>
      <w:rFonts w:ascii="Times New Roman" w:eastAsia="Batang" w:hAnsi="Times New Roman" w:cs="Times New Roman"/>
      <w:kern w:val="2"/>
      <w:szCs w:val="24"/>
      <w:lang w:val="en-GB" w:eastAsia="ko-KR"/>
    </w:rPr>
  </w:style>
  <w:style w:type="paragraph" w:styleId="BalloonText">
    <w:name w:val="Balloon Text"/>
    <w:basedOn w:val="Normal"/>
    <w:link w:val="BalloonTextChar"/>
    <w:uiPriority w:val="99"/>
    <w:semiHidden/>
    <w:unhideWhenUsed/>
    <w:rsid w:val="0096352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3527"/>
    <w:rPr>
      <w:rFonts w:ascii="Segoe UI" w:eastAsia="SimSun" w:hAnsi="Segoe UI" w:cs="Segoe UI"/>
      <w:sz w:val="18"/>
      <w:szCs w:val="18"/>
      <w:lang w:val="en-GB"/>
    </w:rPr>
  </w:style>
  <w:style w:type="character" w:styleId="PlaceholderText">
    <w:name w:val="Placeholder Text"/>
    <w:basedOn w:val="DefaultParagraphFont"/>
    <w:uiPriority w:val="99"/>
    <w:semiHidden/>
    <w:rsid w:val="00C53EC3"/>
    <w:rPr>
      <w:color w:val="808080"/>
    </w:rPr>
  </w:style>
  <w:style w:type="character" w:customStyle="1" w:styleId="Heading2Char">
    <w:name w:val="Heading 2 Char"/>
    <w:basedOn w:val="DefaultParagraphFont"/>
    <w:link w:val="Heading2"/>
    <w:uiPriority w:val="9"/>
    <w:semiHidden/>
    <w:rsid w:val="001A3367"/>
    <w:rPr>
      <w:rFonts w:asciiTheme="majorHAnsi" w:eastAsiaTheme="majorEastAsia" w:hAnsiTheme="majorHAnsi" w:cstheme="majorBidi"/>
      <w:color w:val="2F5496" w:themeColor="accent1" w:themeShade="BF"/>
      <w:sz w:val="26"/>
      <w:szCs w:val="26"/>
      <w:lang w:val="en-GB"/>
    </w:rPr>
  </w:style>
  <w:style w:type="paragraph" w:styleId="BodyText">
    <w:name w:val="Body Text"/>
    <w:aliases w:val="bt"/>
    <w:basedOn w:val="Normal"/>
    <w:link w:val="BodyTextChar"/>
    <w:rsid w:val="001A3367"/>
    <w:pPr>
      <w:overflowPunct w:val="0"/>
      <w:autoSpaceDE w:val="0"/>
      <w:autoSpaceDN w:val="0"/>
      <w:adjustRightInd w:val="0"/>
      <w:spacing w:after="120"/>
      <w:jc w:val="both"/>
      <w:textAlignment w:val="baseline"/>
    </w:pPr>
    <w:rPr>
      <w:rFonts w:ascii="Times" w:hAnsi="Times"/>
      <w:szCs w:val="24"/>
    </w:rPr>
  </w:style>
  <w:style w:type="character" w:customStyle="1" w:styleId="BodyTextChar">
    <w:name w:val="Body Text Char"/>
    <w:aliases w:val="bt Char"/>
    <w:basedOn w:val="DefaultParagraphFont"/>
    <w:link w:val="BodyText"/>
    <w:rsid w:val="001A3367"/>
    <w:rPr>
      <w:rFonts w:ascii="Times" w:eastAsia="SimSun" w:hAnsi="Times" w:cs="Times New Roman"/>
      <w:sz w:val="20"/>
      <w:szCs w:val="24"/>
    </w:rPr>
  </w:style>
  <w:style w:type="paragraph" w:styleId="TOC5">
    <w:name w:val="toc 5"/>
    <w:basedOn w:val="TOC4"/>
    <w:semiHidden/>
    <w:rsid w:val="001A3367"/>
    <w:pPr>
      <w:keepLines/>
      <w:widowControl w:val="0"/>
      <w:numPr>
        <w:numId w:val="13"/>
      </w:numPr>
      <w:tabs>
        <w:tab w:val="clear" w:pos="360"/>
        <w:tab w:val="right" w:leader="dot" w:pos="9639"/>
      </w:tabs>
      <w:overflowPunct w:val="0"/>
      <w:autoSpaceDE w:val="0"/>
      <w:autoSpaceDN w:val="0"/>
      <w:adjustRightInd w:val="0"/>
      <w:spacing w:after="0"/>
      <w:ind w:left="1701" w:right="425" w:hanging="1701"/>
      <w:textAlignment w:val="baseline"/>
    </w:pPr>
    <w:rPr>
      <w:noProof/>
    </w:rPr>
  </w:style>
  <w:style w:type="paragraph" w:customStyle="1" w:styleId="Reference">
    <w:name w:val="Reference"/>
    <w:basedOn w:val="Normal"/>
    <w:rsid w:val="001A3367"/>
    <w:pPr>
      <w:numPr>
        <w:numId w:val="1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1A3367"/>
    <w:pPr>
      <w:spacing w:after="100"/>
      <w:ind w:left="600"/>
    </w:pPr>
  </w:style>
  <w:style w:type="character" w:styleId="CommentReference">
    <w:name w:val="annotation reference"/>
    <w:basedOn w:val="DefaultParagraphFont"/>
    <w:uiPriority w:val="99"/>
    <w:semiHidden/>
    <w:unhideWhenUsed/>
    <w:rsid w:val="00D863DE"/>
    <w:rPr>
      <w:sz w:val="16"/>
      <w:szCs w:val="16"/>
    </w:rPr>
  </w:style>
  <w:style w:type="paragraph" w:styleId="CommentText">
    <w:name w:val="annotation text"/>
    <w:basedOn w:val="Normal"/>
    <w:link w:val="CommentTextChar"/>
    <w:uiPriority w:val="99"/>
    <w:semiHidden/>
    <w:unhideWhenUsed/>
    <w:rsid w:val="00D863DE"/>
  </w:style>
  <w:style w:type="character" w:customStyle="1" w:styleId="CommentTextChar">
    <w:name w:val="Comment Text Char"/>
    <w:basedOn w:val="DefaultParagraphFont"/>
    <w:link w:val="CommentText"/>
    <w:uiPriority w:val="99"/>
    <w:semiHidden/>
    <w:rsid w:val="00D863DE"/>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863DE"/>
    <w:rPr>
      <w:b/>
      <w:bCs/>
    </w:rPr>
  </w:style>
  <w:style w:type="character" w:customStyle="1" w:styleId="CommentSubjectChar">
    <w:name w:val="Comment Subject Char"/>
    <w:basedOn w:val="CommentTextChar"/>
    <w:link w:val="CommentSubject"/>
    <w:uiPriority w:val="99"/>
    <w:semiHidden/>
    <w:rsid w:val="00D863DE"/>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SRVZ567275SS-924214940-976</_dlc_DocId>
    <_dlc_DocIdUrl xmlns="932dab1a-f806-440a-b546-5f112cb4e652">
      <Url>https://projects.qualcomm.com/sites/libra/_layouts/15/DocIdRedir.aspx?ID=SRVZ567275SS-924214940-976</Url>
      <Description>SRVZ567275SS-924214940-976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306A4F-777F-4522-B7E3-A0F1FAA1C4AD}">
  <ds:schemaRefs>
    <ds:schemaRef ds:uri="http://schemas.microsoft.com/office/2006/metadata/properties"/>
    <ds:schemaRef ds:uri="http://purl.org/dc/terms/"/>
    <ds:schemaRef ds:uri="http://schemas.microsoft.com/office/2006/documentManagement/types"/>
    <ds:schemaRef ds:uri="932dab1a-f806-440a-b546-5f112cb4e652"/>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E68A6028-6A22-4900-8B55-2FF729A75440}">
  <ds:schemaRefs>
    <ds:schemaRef ds:uri="http://schemas.microsoft.com/sharepoint/v3/contenttype/forms"/>
  </ds:schemaRefs>
</ds:datastoreItem>
</file>

<file path=customXml/itemProps3.xml><?xml version="1.0" encoding="utf-8"?>
<ds:datastoreItem xmlns:ds="http://schemas.openxmlformats.org/officeDocument/2006/customXml" ds:itemID="{B25C6C57-6CC6-4E33-9BE0-C910AF82FDE2}">
  <ds:schemaRefs>
    <ds:schemaRef ds:uri="http://schemas.microsoft.com/sharepoint/events"/>
  </ds:schemaRefs>
</ds:datastoreItem>
</file>

<file path=customXml/itemProps4.xml><?xml version="1.0" encoding="utf-8"?>
<ds:datastoreItem xmlns:ds="http://schemas.openxmlformats.org/officeDocument/2006/customXml" ds:itemID="{70220A50-69DC-43EF-A5B8-EFAEEF498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4</Pages>
  <Words>1049</Words>
  <Characters>5984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Shuanshuan Wu</dc:creator>
  <cp:keywords/>
  <dc:description/>
  <cp:lastModifiedBy>Shuanshuan Wu</cp:lastModifiedBy>
  <cp:revision>67</cp:revision>
  <dcterms:created xsi:type="dcterms:W3CDTF">2019-11-07T00:18:00Z</dcterms:created>
  <dcterms:modified xsi:type="dcterms:W3CDTF">2019-11-09T02:10:00Z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05c8ddac-fcfc-44b6-a37e-ce326369f164</vt:lpwstr>
  </property>
</Properties>
</file>